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495234">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495234">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495234">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495234">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495234">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495234">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495234">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495234">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495234">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495234">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495234">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495234">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495234">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495234">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495234">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495234">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495234">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495234">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495234">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495234">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495234">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495234">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495234">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495234">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495234">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495234">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495234">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495234">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495234">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495234">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495234">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495234">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495234">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495234">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495234">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495234">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495234">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495234">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495234">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495234">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495234">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495234">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495234">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495234">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495234">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495234">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05D95CF" w:rsidR="00093CA9" w:rsidRDefault="004A76A9" w:rsidP="00093CA9">
            <w:r w:rsidRPr="004A76A9">
              <w:t>PRA 'Dear C</w:t>
            </w:r>
            <w:r w:rsidR="009E3466">
              <w:t>E</w:t>
            </w:r>
            <w:r w:rsidRPr="004A76A9">
              <w:t>O' Letter on 'Thematic feedback o</w:t>
            </w:r>
            <w:r w:rsidR="009E3466">
              <w:t>n the PRA’s Supervision of climate-related financial risk and the Bank of England’s Climate Biennial Exploratory Scenario Exercise</w:t>
            </w:r>
            <w:r w:rsidR="00D360F3">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27C8B44" w:rsidR="00093CA9" w:rsidRPr="00572425" w:rsidRDefault="00495234" w:rsidP="00093CA9">
            <w:pPr>
              <w:rPr>
                <w:highlight w:val="yellow"/>
              </w:rPr>
            </w:pPr>
            <w:hyperlink r:id="rId19" w:history="1">
              <w:r w:rsidR="004967DB" w:rsidRPr="000833B4">
                <w:rPr>
                  <w:rStyle w:val="Hyperlink"/>
                </w:rPr>
                <w:t>https://web.archive.org/web/20250628223021/https://www.bankofengland.co.uk/-/media/boe/files/prudential-regulation/letter/2022/october/managing-climate-related-financial-risks.pdf</w:t>
              </w:r>
            </w:hyperlink>
            <w:r w:rsidR="004967DB">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B7F3A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7DD11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BCA6D05" w:rsidR="00093CA9" w:rsidRDefault="0095052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60B7F57" w14:textId="4311136C" w:rsidR="00093CA9" w:rsidRDefault="00923F8C" w:rsidP="00093CA9">
            <w:r>
              <w:t>The policy tool provides a status update on the Prudential Regulat</w:t>
            </w:r>
            <w:r w:rsidR="00A6214D">
              <w:t>ion</w:t>
            </w:r>
            <w:r>
              <w:t xml:space="preserve"> Authority’s (PRA’s) supervision of regulated firms’ management of climate-related financial risks</w:t>
            </w:r>
            <w:r w:rsidR="00A6214D">
              <w:t xml:space="preserve"> and provides a summary of expected capabilities and effective practices that firms should integrate. </w:t>
            </w:r>
            <w:r w:rsidR="00754394">
              <w:t xml:space="preserve">Published three and a half years after </w:t>
            </w:r>
            <w:r w:rsidR="0041457E">
              <w:t xml:space="preserve">the PRA’s Supervisory Statement </w:t>
            </w:r>
            <w:r w:rsidR="00754394">
              <w:t>3/19</w:t>
            </w:r>
            <w:r w:rsidR="0041457E">
              <w:t xml:space="preserve"> </w:t>
            </w:r>
            <w:r w:rsidR="0041457E">
              <w:t>(“</w:t>
            </w:r>
            <w:r w:rsidR="0041457E">
              <w:rPr>
                <w:b/>
                <w:bCs/>
              </w:rPr>
              <w:t>SS3/19</w:t>
            </w:r>
            <w:r w:rsidR="0041457E">
              <w:t>”)</w:t>
            </w:r>
            <w:r w:rsidR="0041457E">
              <w:t xml:space="preserve">, </w:t>
            </w:r>
            <w:r w:rsidR="00754394">
              <w:t xml:space="preserve">it provides feedback on firms’ progress in embedding climate risk management approaches. The analysis is split across four broad areas: (i) Governance; (ii) Risk Management; (iii) Scenario Analysis; and (iv) Data. </w:t>
            </w:r>
          </w:p>
          <w:p w14:paraId="41CB7C9A" w14:textId="70EF3111" w:rsidR="00754394" w:rsidRDefault="00754394" w:rsidP="00093CA9">
            <w:r>
              <w:t xml:space="preserve">The policy tool does not itself set out any new requirements for firms, instead it compliments SS3/19 by providing firms with an assessment of their progress to date and the areas where the PRA notes improvement could be made. To assist with this, the PRA outlines good and bad practices and a list of resources for firms. </w:t>
            </w:r>
          </w:p>
          <w:p w14:paraId="18257824" w14:textId="27CE606D" w:rsidR="00754394" w:rsidRDefault="00754394"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FBA4882" w:rsidR="00093CA9" w:rsidRDefault="0057242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EB1E9CB" w:rsidR="00093CA9" w:rsidRDefault="00572425" w:rsidP="00093CA9">
            <w:r>
              <w:t xml:space="preserve">The policy tool </w:t>
            </w:r>
            <w:r w:rsidR="0041457E">
              <w:t xml:space="preserve">does not </w:t>
            </w:r>
            <w:r w:rsidR="0041457E">
              <w:t>set out any new requirements for firms</w:t>
            </w:r>
            <w:r w:rsidR="0041457E">
              <w:t xml:space="preserve"> and does not constitute a change in policy. Therefore, no </w:t>
            </w:r>
            <w:r>
              <w:t>additional approvals</w:t>
            </w:r>
            <w:r w:rsidR="0041457E">
              <w:t xml:space="preserve"> are</w:t>
            </w:r>
            <w:r>
              <w:t xml:space="preserve"> required beyond publication.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2FCB0D3" w:rsidR="00093CA9" w:rsidRPr="00173D7C" w:rsidRDefault="00A6214D"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41457E" w:rsidRPr="00173D7C" w14:paraId="4CE2A386" w14:textId="77777777" w:rsidTr="2452D0D6">
        <w:trPr>
          <w:trHeight w:val="533"/>
        </w:trPr>
        <w:tc>
          <w:tcPr>
            <w:tcW w:w="1063" w:type="dxa"/>
            <w:vAlign w:val="center"/>
          </w:tcPr>
          <w:p w14:paraId="47C7E613" w14:textId="77777777" w:rsidR="0041457E" w:rsidRPr="00173D7C" w:rsidRDefault="0041457E" w:rsidP="0041457E">
            <w:pPr>
              <w:rPr>
                <w:color w:val="000000" w:themeColor="text1"/>
              </w:rPr>
            </w:pPr>
          </w:p>
        </w:tc>
        <w:tc>
          <w:tcPr>
            <w:tcW w:w="9169" w:type="dxa"/>
            <w:gridSpan w:val="4"/>
            <w:shd w:val="clear" w:color="auto" w:fill="auto"/>
            <w:vAlign w:val="center"/>
          </w:tcPr>
          <w:p w14:paraId="5AD2325B" w14:textId="274EB1BE" w:rsidR="0041457E" w:rsidRPr="00173D7C" w:rsidRDefault="0041457E" w:rsidP="0041457E">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90746DE" w:rsidR="00093CA9" w:rsidRDefault="00A6214D" w:rsidP="00093CA9">
            <w:r>
              <w:t>Independent regulatory</w:t>
            </w:r>
            <w:r w:rsidR="00815877">
              <w:t xml:space="preserve"> or supervisory</w:t>
            </w:r>
            <w:r>
              <w:t xml:space="preserve">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7363BA2" w:rsidR="00093CA9" w:rsidRPr="006B7B0D" w:rsidRDefault="00815877" w:rsidP="00093CA9">
            <w:r>
              <w:t>Prudential Regulation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69A63EF" w:rsidR="00093CA9" w:rsidRPr="006B7B0D" w:rsidRDefault="0081587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4732507" w14:textId="24BB1DA5" w:rsidR="00093CA9" w:rsidRDefault="00815877" w:rsidP="000A6794">
            <w:r>
              <w:t xml:space="preserve">The PRA is </w:t>
            </w:r>
            <w:r w:rsidR="000A6794">
              <w:t>one of the three main</w:t>
            </w:r>
            <w:r>
              <w:t xml:space="preserve"> financial regulatory bod</w:t>
            </w:r>
            <w:r w:rsidR="000A6794">
              <w:t>ies</w:t>
            </w:r>
            <w:r>
              <w:t xml:space="preserve"> in the United Kingdom</w:t>
            </w:r>
            <w:r w:rsidR="000A6794">
              <w:t xml:space="preserve">. It is </w:t>
            </w:r>
            <w:r>
              <w:t xml:space="preserve"> responsible for overseeing and ensuring the safety and soundness of financial institutions such as banks, building societies, credit unions, insurers, and major investment firms.</w:t>
            </w:r>
            <w:r w:rsidR="000A6794">
              <w:t xml:space="preserve"> </w:t>
            </w:r>
          </w:p>
          <w:p w14:paraId="42D06D03" w14:textId="02B3323C" w:rsidR="00815877" w:rsidRDefault="00815877" w:rsidP="00093CA9">
            <w:r>
              <w:t xml:space="preserve">The PRA has strong enforcement capacity, supported by a well-defined regulatory framework, specialized expertise across finance, risk management, and proactive supervision. </w:t>
            </w:r>
            <w:r w:rsidR="008A24CE">
              <w:t>The body has significant powers to ensure compliance and manage financial crises.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F9AE0AB" w:rsidR="00093CA9" w:rsidRDefault="008A24C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30B93DA" w:rsidR="00093CA9" w:rsidRPr="008017F9" w:rsidRDefault="000A6794" w:rsidP="00305358">
            <w:pPr>
              <w:keepNext/>
              <w:rPr>
                <w:color w:val="000000" w:themeColor="text1"/>
              </w:rPr>
            </w:pPr>
            <w:r>
              <w:rPr>
                <w:color w:val="000000" w:themeColor="text1"/>
              </w:rPr>
              <w:t>Under the ‘</w:t>
            </w:r>
            <w:r w:rsidRPr="000A6794">
              <w:rPr>
                <w:i/>
                <w:iCs/>
                <w:color w:val="000000" w:themeColor="text1"/>
              </w:rPr>
              <w:t>Next steps</w:t>
            </w:r>
            <w:r>
              <w:rPr>
                <w:color w:val="000000" w:themeColor="text1"/>
              </w:rPr>
              <w:t xml:space="preserve">’ section of the Dear CEO letter, the PRA sets out its broad intention to keep firm’s compliance with the regulatory expectations of SS3/19 under review, and notes that </w:t>
            </w:r>
            <w:r w:rsidR="0041457E">
              <w:rPr>
                <w:color w:val="000000" w:themeColor="text1"/>
              </w:rPr>
              <w:t>firms judged not to have made sufficient progress in complying with the expectations set out in SS3/19 will be asked to produce a roadmap explaining how they will overcome these gaps</w:t>
            </w:r>
            <w:r w:rsidR="00216270">
              <w:rPr>
                <w:color w:val="000000" w:themeColor="text1"/>
              </w:rPr>
              <w:t xml:space="preserve">. </w:t>
            </w:r>
            <w:r w:rsidR="0041457E">
              <w:rPr>
                <w:color w:val="000000" w:themeColor="text1"/>
              </w:rPr>
              <w:t xml:space="preserve">Following this, the PRA </w:t>
            </w:r>
            <w:r w:rsidR="00216270">
              <w:rPr>
                <w:color w:val="000000" w:themeColor="text1"/>
              </w:rPr>
              <w:t>may use their wider supervisory toolkit</w:t>
            </w:r>
            <w:r w:rsidR="0041457E">
              <w:rPr>
                <w:color w:val="000000" w:themeColor="text1"/>
              </w:rPr>
              <w:t xml:space="preserve"> to facilitate compliance</w:t>
            </w:r>
            <w:r w:rsidR="00216270">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bookmarkStart w:id="2" w:name="_Hlk202352759"/>
      <w:r w:rsidR="00A40404">
        <w:lastRenderedPageBreak/>
        <w:t>Domain 1: Climate-Related Disclosure</w:t>
      </w:r>
      <w:bookmarkEnd w:id="1"/>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6A7BCD9"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6C04729F"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0E5FB84"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1AE3AE5"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141623DC"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06A5909"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AE67BE4"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72BE0EC"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960AAC1"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C83930B"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EACDA2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2D2FE160"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83AA745"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1EEB00D"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CE4A5EF"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2F75777C"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487595E1"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6203BDAA"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4490164C"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66B43EE5"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2BDDB68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73AF2822"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1A3A62D"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1E2ACFB6"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6B6F37E8"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24C0A15D"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0CFB3DC9"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1D7E090F"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72E5168"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6F5A4CD"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68C011C7"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2B77002C"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F4E5BA6"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4C1EA39B"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E7742E8"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04E90B4"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41457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0538A" w:rsidRDefault="00107CE2" w:rsidP="00DD3144">
            <w:pPr>
              <w:rPr>
                <w:lang w:val="fr-FR"/>
              </w:rPr>
            </w:pPr>
            <w:r w:rsidRPr="0030538A">
              <w:rPr>
                <w:lang w:val="fr-FR"/>
              </w:rPr>
              <w:t>Minimum revenue (Enter minimum revenue)</w:t>
            </w:r>
          </w:p>
        </w:tc>
        <w:tc>
          <w:tcPr>
            <w:tcW w:w="4910" w:type="dxa"/>
            <w:gridSpan w:val="7"/>
            <w:shd w:val="clear" w:color="auto" w:fill="auto"/>
            <w:vAlign w:val="center"/>
          </w:tcPr>
          <w:p w14:paraId="2518BD70" w14:textId="77777777" w:rsidR="00524D54" w:rsidRPr="0030538A" w:rsidRDefault="00524D54" w:rsidP="00DD3144">
            <w:pPr>
              <w:rPr>
                <w:lang w:val="fr-FR"/>
              </w:rPr>
            </w:pPr>
          </w:p>
        </w:tc>
      </w:tr>
      <w:tr w:rsidR="00524D54" w:rsidRPr="00D1195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397331A6" w:rsidR="00524D54" w:rsidRPr="003577A4" w:rsidRDefault="00107CE2" w:rsidP="00DD3144">
            <w:r>
              <w:t xml:space="preserve">Minimum contract value (Enter minimum </w:t>
            </w:r>
            <w:r w:rsidR="00997829">
              <w:t>X</w:t>
            </w:r>
            <w:r>
              <w:t>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5D01FEF4" w:rsidR="00524D54" w:rsidRPr="00997829" w:rsidRDefault="00524D54" w:rsidP="00DD3144">
            <w:pPr>
              <w:rPr>
                <w:highlight w:val="yellow"/>
              </w:rPr>
            </w:pP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1121BBC"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EBEED09"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bookmarkStart w:id="5" w:name="_Hlk202342990"/>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140836C" w:rsidR="00836EA0" w:rsidRDefault="00836EA0" w:rsidP="00A03158"/>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D986848"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AE56F3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6" w:name="_Toc198223603"/>
      <w:r>
        <w:lastRenderedPageBreak/>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0EE881C0"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8C66464"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3E06084D"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08793FC0"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E8F710F"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4FF10ACA"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6D37C604"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FB4711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863D0C8"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84D566E"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59F9A8A1"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59C70D31"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4451EF6F"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165B5EFA" w:rsidR="00B0479E" w:rsidRPr="00F75058" w:rsidRDefault="00B0479E" w:rsidP="00DD3144">
            <w:pPr>
              <w:rPr>
                <w:rFonts w:ascii="Calibri" w:hAnsi="Calibri" w:cs="Calibri"/>
              </w:rPr>
            </w:pPr>
          </w:p>
        </w:tc>
      </w:tr>
      <w:tr w:rsidR="00B0479E" w:rsidRPr="0041457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30538A" w:rsidRDefault="00B0479E" w:rsidP="00DD3144">
            <w:pPr>
              <w:rPr>
                <w:lang w:val="fr-FR"/>
              </w:rPr>
            </w:pPr>
            <w:r w:rsidRPr="0030538A">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30538A"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A5754A4"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1356FD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0B52B235"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7E8B58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42DC3C26"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15FC4404"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36F43AD3" w:rsidR="00B0479E" w:rsidRDefault="00954D74" w:rsidP="00DD3144">
            <w:pPr>
              <w:rPr>
                <w:rFonts w:ascii="Calibri" w:hAnsi="Calibri" w:cs="Calibri"/>
              </w:rPr>
            </w:pPr>
            <w:r>
              <w:rPr>
                <w:rFonts w:ascii="Calibri" w:hAnsi="Calibri" w:cs="Calibri"/>
              </w:rPr>
              <w:t>SS3/19 specifies that “the disclosure of Scope 3 GHG emissions is subject to materiality; however, the Task Force encourages organizations to disclose such emissions.”</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09CA0880"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26B4CF13"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0178C4B4"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111ED4BB"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66D3CB45"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662A0A64"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75DD8B45"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4F34DA50"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39A81FD5"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01D9F005"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5FF4A60E" w:rsidR="00B0479E" w:rsidRPr="008F1111" w:rsidRDefault="00B0479E" w:rsidP="00DD3144">
            <w:pPr>
              <w:rPr>
                <w:highlight w:val="yellow"/>
              </w:rPr>
            </w:pP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4793401A"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770EF730"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142DF329"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227CBBA0"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0AD59F5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8F1111">
              <w:t>disclos</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18F70F41"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41D63626"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1E829DE"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529B1039"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21CA4E19"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922E46E"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AA23782"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3C38777A"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5D4C69E5"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57876994"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00EA487B"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36EB57DF"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D96E0E6"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203EC986"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03FF8654"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7CD100E8"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91CAD8D"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5C3B025E"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5ED6ABA2"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6C835DBC"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06AFE71E" w:rsidR="00484663" w:rsidRDefault="00484663" w:rsidP="00DD3144"/>
        </w:tc>
        <w:tc>
          <w:tcPr>
            <w:tcW w:w="1440" w:type="dxa"/>
            <w:vAlign w:val="center"/>
          </w:tcPr>
          <w:p w14:paraId="4DD99938" w14:textId="0005F0CD" w:rsidR="00484663" w:rsidRDefault="00484663" w:rsidP="00DD3144"/>
        </w:tc>
        <w:tc>
          <w:tcPr>
            <w:tcW w:w="1890" w:type="dxa"/>
            <w:vAlign w:val="center"/>
          </w:tcPr>
          <w:p w14:paraId="065E4B33" w14:textId="7D0ABDC9"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25421A14"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3EF433C"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3CF34A0F"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5C6D05A0"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5D7DC5B5"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5F5847B8"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429A80CD" w:rsidR="00484663" w:rsidRDefault="003C677B" w:rsidP="00DD3144">
            <w:r>
              <w:t>SS3/19</w:t>
            </w:r>
            <w:r w:rsidRPr="003C677B">
              <w:t xml:space="preserve"> expects firms and banks to consider disclosing in line with TCFD recommendations. The October 2021 update to the TCFD recommendations specifies on p</w:t>
            </w:r>
            <w:r>
              <w:t>.</w:t>
            </w:r>
            <w:r w:rsidRPr="003C677B">
              <w:t xml:space="preserve">22 that “Organizations should describe their key climate-related targets such as those related to GHG emissions, water usage, energy usage, etc., in line with the cross-industry, climate-related metric categories in Table A2.1” and the categories set out in that Table A2.1 on </w:t>
            </w:r>
            <w:r>
              <w:t>pp.</w:t>
            </w:r>
            <w:r w:rsidRPr="003C677B">
              <w:t>79-80 includes remuneration. This is the proportion of executive management remuneration linked to climate considerations, and should be given as a percentage weighting, description, or amount in reporting currency.   The policy tool expects firms and banks to consider disclosing in line with TCFD recommendations. Th</w:t>
            </w:r>
            <w:r>
              <w:t>e categories set out in Table A2</w:t>
            </w:r>
            <w:r w:rsidR="00A911B5">
              <w:t>.1</w:t>
            </w:r>
            <w:r>
              <w:t xml:space="preserve"> also include capital deployment, which</w:t>
            </w:r>
            <w:r w:rsidRPr="003C677B">
              <w:t xml:space="preserve"> means the amount of capital expenditure, financing, or investment deployed towards climate-related risks and opportunities</w:t>
            </w:r>
            <w:r>
              <w:t>; the amount</w:t>
            </w:r>
            <w:r w:rsidRPr="003C677B">
              <w:t xml:space="preserve"> should be given in the reporting currency.</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D1690E3"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5C13007"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F5C5508" w:rsidR="00DA416F" w:rsidRPr="00DD3144" w:rsidRDefault="00DA416F" w:rsidP="00DD3144">
            <w:pPr>
              <w:keepNext/>
              <w:rPr>
                <w:rFonts w:ascii="Calibri" w:hAnsi="Calibri" w:cs="Calibri"/>
              </w:rPr>
            </w:pPr>
          </w:p>
        </w:tc>
        <w:tc>
          <w:tcPr>
            <w:tcW w:w="1503" w:type="dxa"/>
            <w:vAlign w:val="center"/>
          </w:tcPr>
          <w:p w14:paraId="5A50D045" w14:textId="5E7D68F3"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1437019B"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1D4547CA"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5DFD7DE"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7691E1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6B3316B"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37B9508"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71158D4"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F899FD9"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DC611B5"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2A250B4"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7FEDE4A"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bookmarkEnd w:id="2"/>
      <w:bookmarkEnd w:id="5"/>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lastRenderedPageBreak/>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1457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0538A" w:rsidRDefault="004F276F" w:rsidP="00C37D48">
            <w:pPr>
              <w:rPr>
                <w:rFonts w:ascii="Calibri" w:hAnsi="Calibri" w:cs="Calibri"/>
                <w:lang w:val="fr-FR"/>
              </w:rPr>
            </w:pPr>
            <w:r w:rsidRPr="0030538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0538A" w:rsidRDefault="004F276F" w:rsidP="00C37D48">
            <w:pPr>
              <w:rPr>
                <w:rFonts w:ascii="Calibri" w:hAnsi="Calibri" w:cs="Calibri"/>
                <w:lang w:val="fr-FR"/>
              </w:rPr>
            </w:pPr>
          </w:p>
        </w:tc>
      </w:tr>
      <w:tr w:rsidR="004F276F" w:rsidRPr="00D1195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lastRenderedPageBreak/>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2" w:name="_Toc198223609"/>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41457E"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0538A" w:rsidRDefault="003A2E5E" w:rsidP="00C37D48">
            <w:pPr>
              <w:rPr>
                <w:rFonts w:ascii="Calibri" w:hAnsi="Calibri" w:cs="Calibri"/>
                <w:lang w:val="fr-FR"/>
              </w:rPr>
            </w:pPr>
            <w:r w:rsidRPr="0030538A">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30538A"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41457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0538A" w:rsidRDefault="00C66EE0" w:rsidP="00610F28">
            <w:pPr>
              <w:rPr>
                <w:rFonts w:ascii="Calibri" w:hAnsi="Calibri" w:cs="Calibri"/>
                <w:lang w:val="fr-FR"/>
              </w:rPr>
            </w:pPr>
            <w:r w:rsidRPr="0030538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0538A" w:rsidRDefault="00C66EE0" w:rsidP="00610F28">
            <w:pPr>
              <w:rPr>
                <w:rFonts w:ascii="Calibri" w:hAnsi="Calibri" w:cs="Calibri"/>
                <w:lang w:val="fr-FR"/>
              </w:rPr>
            </w:pPr>
          </w:p>
        </w:tc>
      </w:tr>
      <w:tr w:rsidR="00241257" w:rsidRPr="00D1195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2" w:name="_Toc198223617"/>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lastRenderedPageBreak/>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41457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0538A" w:rsidRDefault="00092534" w:rsidP="00CF2E7C">
            <w:pPr>
              <w:rPr>
                <w:rFonts w:ascii="Calibri" w:hAnsi="Calibri" w:cs="Calibri"/>
                <w:lang w:val="fr-FR"/>
              </w:rPr>
            </w:pPr>
            <w:r w:rsidRPr="0030538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0538A" w:rsidRDefault="00092534" w:rsidP="00CF2E7C">
            <w:pPr>
              <w:rPr>
                <w:rFonts w:ascii="Calibri" w:hAnsi="Calibri" w:cs="Calibri"/>
                <w:lang w:val="fr-FR"/>
              </w:rPr>
            </w:pPr>
          </w:p>
        </w:tc>
      </w:tr>
      <w:tr w:rsidR="00092534" w:rsidRPr="00D1195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lastRenderedPageBreak/>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442AC3" w:rsidRPr="009C4D10" w14:paraId="05B597B7" w14:textId="77777777" w:rsidTr="00CF2E7C">
        <w:trPr>
          <w:trHeight w:val="24"/>
        </w:trPr>
        <w:tc>
          <w:tcPr>
            <w:tcW w:w="1065" w:type="dxa"/>
            <w:vAlign w:val="center"/>
          </w:tcPr>
          <w:p w14:paraId="46D0CB31" w14:textId="5182D073" w:rsidR="00442AC3" w:rsidRPr="00CF2E7C" w:rsidRDefault="00442AC3" w:rsidP="00442AC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442AC3" w:rsidRPr="00CF2E7C" w:rsidRDefault="00442AC3" w:rsidP="00442AC3">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442AC3" w:rsidRPr="00CF2E7C" w:rsidRDefault="00442AC3" w:rsidP="00442AC3">
            <w:pPr>
              <w:rPr>
                <w:rFonts w:ascii="Calibri" w:hAnsi="Calibri" w:cs="Calibri"/>
              </w:rPr>
            </w:pPr>
          </w:p>
        </w:tc>
        <w:tc>
          <w:tcPr>
            <w:tcW w:w="1455" w:type="dxa"/>
            <w:gridSpan w:val="2"/>
            <w:vAlign w:val="center"/>
          </w:tcPr>
          <w:p w14:paraId="5B4FEC6B" w14:textId="77777777" w:rsidR="00442AC3" w:rsidRPr="00CF2E7C" w:rsidRDefault="00442AC3" w:rsidP="00442AC3">
            <w:pPr>
              <w:rPr>
                <w:rFonts w:ascii="Calibri" w:hAnsi="Calibri" w:cs="Calibri"/>
              </w:rPr>
            </w:pPr>
          </w:p>
        </w:tc>
        <w:tc>
          <w:tcPr>
            <w:tcW w:w="1505" w:type="dxa"/>
            <w:vAlign w:val="center"/>
          </w:tcPr>
          <w:p w14:paraId="242DA23C" w14:textId="1C9B5907" w:rsidR="00442AC3" w:rsidRPr="00CF2E7C" w:rsidRDefault="00442AC3" w:rsidP="00442AC3">
            <w:pPr>
              <w:rPr>
                <w:rFonts w:ascii="Calibri" w:hAnsi="Calibri" w:cs="Calibri"/>
              </w:rPr>
            </w:pPr>
            <w:r>
              <w:t>X</w:t>
            </w:r>
          </w:p>
        </w:tc>
      </w:tr>
      <w:tr w:rsidR="00442AC3" w:rsidRPr="009C4D10" w14:paraId="2E8BFB98" w14:textId="77777777" w:rsidTr="00CF2E7C">
        <w:trPr>
          <w:trHeight w:val="24"/>
        </w:trPr>
        <w:tc>
          <w:tcPr>
            <w:tcW w:w="1065" w:type="dxa"/>
            <w:vAlign w:val="center"/>
          </w:tcPr>
          <w:p w14:paraId="2289F8A3" w14:textId="48A6FE43" w:rsidR="00442AC3" w:rsidRPr="00CF2E7C" w:rsidRDefault="00442AC3" w:rsidP="00442AC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442AC3" w:rsidRPr="00CF2E7C" w:rsidRDefault="00442AC3" w:rsidP="00442AC3">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442AC3" w:rsidRPr="00CF2E7C" w:rsidRDefault="00442AC3" w:rsidP="00442AC3">
            <w:pPr>
              <w:rPr>
                <w:rFonts w:ascii="Calibri" w:hAnsi="Calibri" w:cs="Calibri"/>
              </w:rPr>
            </w:pPr>
          </w:p>
        </w:tc>
        <w:tc>
          <w:tcPr>
            <w:tcW w:w="1455" w:type="dxa"/>
            <w:gridSpan w:val="2"/>
            <w:vAlign w:val="center"/>
          </w:tcPr>
          <w:p w14:paraId="3C9FD41A" w14:textId="59C84F0F" w:rsidR="00442AC3" w:rsidRPr="00CF2E7C" w:rsidRDefault="00442AC3" w:rsidP="00442AC3">
            <w:pPr>
              <w:jc w:val="center"/>
              <w:rPr>
                <w:rFonts w:ascii="Calibri" w:hAnsi="Calibri" w:cs="Calibri"/>
              </w:rPr>
            </w:pPr>
          </w:p>
        </w:tc>
        <w:tc>
          <w:tcPr>
            <w:tcW w:w="1505" w:type="dxa"/>
            <w:vAlign w:val="center"/>
          </w:tcPr>
          <w:p w14:paraId="5A98AF5A" w14:textId="07934E7C" w:rsidR="00442AC3" w:rsidRPr="00CF2E7C" w:rsidRDefault="00442AC3" w:rsidP="00442AC3">
            <w:pPr>
              <w:rPr>
                <w:rFonts w:ascii="Calibri" w:hAnsi="Calibri" w:cs="Calibri"/>
              </w:rPr>
            </w:pPr>
            <w:r>
              <w:t>X</w:t>
            </w:r>
          </w:p>
        </w:tc>
      </w:tr>
      <w:tr w:rsidR="00442AC3" w:rsidRPr="009C4D10" w14:paraId="43F20BEC" w14:textId="77777777" w:rsidTr="00CF2E7C">
        <w:trPr>
          <w:trHeight w:val="24"/>
        </w:trPr>
        <w:tc>
          <w:tcPr>
            <w:tcW w:w="1065" w:type="dxa"/>
            <w:vAlign w:val="center"/>
          </w:tcPr>
          <w:p w14:paraId="4B3FBF46" w14:textId="06B86D20" w:rsidR="00442AC3" w:rsidRPr="00CF2E7C" w:rsidRDefault="00442AC3" w:rsidP="00442AC3">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442AC3" w:rsidRPr="00CF2E7C" w:rsidRDefault="00442AC3" w:rsidP="00442AC3">
            <w:pPr>
              <w:rPr>
                <w:rFonts w:ascii="Calibri" w:hAnsi="Calibri" w:cs="Calibri"/>
              </w:rPr>
            </w:pPr>
            <w:r w:rsidRPr="00CF2E7C">
              <w:rPr>
                <w:rFonts w:ascii="Calibri" w:hAnsi="Calibri" w:cs="Calibri"/>
              </w:rPr>
              <w:t>Financial institutions</w:t>
            </w:r>
          </w:p>
        </w:tc>
        <w:tc>
          <w:tcPr>
            <w:tcW w:w="1456" w:type="dxa"/>
            <w:vAlign w:val="center"/>
          </w:tcPr>
          <w:p w14:paraId="101E5425" w14:textId="7D7542FB" w:rsidR="00442AC3" w:rsidRPr="00CF2E7C" w:rsidRDefault="00442AC3" w:rsidP="00442AC3">
            <w:pPr>
              <w:rPr>
                <w:rFonts w:ascii="Calibri" w:hAnsi="Calibri" w:cs="Calibri"/>
              </w:rPr>
            </w:pPr>
            <w:r>
              <w:t>X</w:t>
            </w:r>
          </w:p>
        </w:tc>
        <w:tc>
          <w:tcPr>
            <w:tcW w:w="1455" w:type="dxa"/>
            <w:gridSpan w:val="2"/>
            <w:vAlign w:val="center"/>
          </w:tcPr>
          <w:p w14:paraId="768ED678" w14:textId="06071BF6" w:rsidR="00442AC3" w:rsidRPr="00CF2E7C" w:rsidRDefault="00442AC3" w:rsidP="00442AC3">
            <w:pPr>
              <w:jc w:val="center"/>
              <w:rPr>
                <w:rFonts w:ascii="Calibri" w:hAnsi="Calibri" w:cs="Calibri"/>
              </w:rPr>
            </w:pPr>
          </w:p>
        </w:tc>
        <w:tc>
          <w:tcPr>
            <w:tcW w:w="1505" w:type="dxa"/>
            <w:vAlign w:val="center"/>
          </w:tcPr>
          <w:p w14:paraId="60C6C14A" w14:textId="77777777" w:rsidR="00442AC3" w:rsidRPr="00CF2E7C" w:rsidRDefault="00442AC3" w:rsidP="00442AC3">
            <w:pPr>
              <w:rPr>
                <w:rFonts w:ascii="Calibri" w:hAnsi="Calibri" w:cs="Calibri"/>
              </w:rPr>
            </w:pPr>
          </w:p>
        </w:tc>
      </w:tr>
      <w:tr w:rsidR="00442AC3" w:rsidRPr="009C4D10" w14:paraId="7CCA8B79" w14:textId="77777777" w:rsidTr="00CF2E7C">
        <w:trPr>
          <w:trHeight w:val="24"/>
        </w:trPr>
        <w:tc>
          <w:tcPr>
            <w:tcW w:w="1065" w:type="dxa"/>
            <w:vAlign w:val="center"/>
          </w:tcPr>
          <w:p w14:paraId="37C046FC" w14:textId="53C49594" w:rsidR="00442AC3" w:rsidRPr="00CF2E7C" w:rsidRDefault="00442AC3" w:rsidP="00442AC3">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442AC3" w:rsidRPr="00CF2E7C" w:rsidRDefault="00442AC3" w:rsidP="00442AC3">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442AC3" w:rsidRPr="00CF2E7C" w:rsidRDefault="00442AC3" w:rsidP="00442AC3">
            <w:pPr>
              <w:rPr>
                <w:rFonts w:ascii="Calibri" w:hAnsi="Calibri" w:cs="Calibri"/>
              </w:rPr>
            </w:pPr>
          </w:p>
        </w:tc>
        <w:tc>
          <w:tcPr>
            <w:tcW w:w="1455" w:type="dxa"/>
            <w:gridSpan w:val="2"/>
            <w:vAlign w:val="center"/>
          </w:tcPr>
          <w:p w14:paraId="4902C0E0" w14:textId="77777777" w:rsidR="00442AC3" w:rsidRPr="00CF2E7C" w:rsidRDefault="00442AC3" w:rsidP="00442AC3">
            <w:pPr>
              <w:rPr>
                <w:rFonts w:ascii="Calibri" w:hAnsi="Calibri" w:cs="Calibri"/>
              </w:rPr>
            </w:pPr>
          </w:p>
        </w:tc>
        <w:tc>
          <w:tcPr>
            <w:tcW w:w="1505" w:type="dxa"/>
            <w:vAlign w:val="center"/>
          </w:tcPr>
          <w:p w14:paraId="09AE3F99" w14:textId="4F5E30E2" w:rsidR="00442AC3" w:rsidRPr="00CF2E7C" w:rsidRDefault="00442AC3" w:rsidP="00442AC3">
            <w:pPr>
              <w:rPr>
                <w:rFonts w:ascii="Calibri" w:hAnsi="Calibri" w:cs="Calibri"/>
              </w:rPr>
            </w:pPr>
            <w:r>
              <w:t>X</w:t>
            </w:r>
          </w:p>
        </w:tc>
      </w:tr>
      <w:tr w:rsidR="00442AC3" w:rsidRPr="009C4D10" w14:paraId="7E6D8DB7" w14:textId="77777777" w:rsidTr="00CF2E7C">
        <w:trPr>
          <w:trHeight w:val="24"/>
        </w:trPr>
        <w:tc>
          <w:tcPr>
            <w:tcW w:w="1065" w:type="dxa"/>
            <w:vAlign w:val="center"/>
          </w:tcPr>
          <w:p w14:paraId="01559852" w14:textId="4E391D88" w:rsidR="00442AC3" w:rsidRPr="00CF2E7C" w:rsidRDefault="00442AC3" w:rsidP="00442AC3">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442AC3" w:rsidRPr="00CF2E7C" w:rsidRDefault="00442AC3" w:rsidP="00442AC3">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442AC3" w:rsidRPr="00CF2E7C" w:rsidRDefault="00442AC3" w:rsidP="00442AC3">
            <w:pPr>
              <w:rPr>
                <w:rFonts w:ascii="Calibri" w:hAnsi="Calibri" w:cs="Calibri"/>
              </w:rPr>
            </w:pPr>
          </w:p>
        </w:tc>
        <w:tc>
          <w:tcPr>
            <w:tcW w:w="1455" w:type="dxa"/>
            <w:gridSpan w:val="2"/>
            <w:vAlign w:val="center"/>
          </w:tcPr>
          <w:p w14:paraId="6CA5E6D4" w14:textId="77777777" w:rsidR="00442AC3" w:rsidRPr="00CF2E7C" w:rsidRDefault="00442AC3" w:rsidP="00442AC3">
            <w:pPr>
              <w:rPr>
                <w:rFonts w:ascii="Calibri" w:hAnsi="Calibri" w:cs="Calibri"/>
              </w:rPr>
            </w:pPr>
          </w:p>
        </w:tc>
        <w:tc>
          <w:tcPr>
            <w:tcW w:w="1505" w:type="dxa"/>
            <w:vAlign w:val="center"/>
          </w:tcPr>
          <w:p w14:paraId="3395370C" w14:textId="15103637" w:rsidR="00442AC3" w:rsidRPr="00CF2E7C" w:rsidRDefault="00442AC3" w:rsidP="00442AC3">
            <w:pPr>
              <w:rPr>
                <w:rFonts w:ascii="Calibri" w:hAnsi="Calibri" w:cs="Calibri"/>
              </w:rPr>
            </w:pPr>
            <w:r>
              <w:t>X</w:t>
            </w:r>
          </w:p>
        </w:tc>
      </w:tr>
      <w:tr w:rsidR="00442AC3" w:rsidRPr="009C4D10" w14:paraId="79ED0E10" w14:textId="77777777" w:rsidTr="00CF2E7C">
        <w:trPr>
          <w:trHeight w:val="300"/>
        </w:trPr>
        <w:tc>
          <w:tcPr>
            <w:tcW w:w="1065" w:type="dxa"/>
            <w:vAlign w:val="center"/>
          </w:tcPr>
          <w:p w14:paraId="4BE294D3" w14:textId="36E58011" w:rsidR="00442AC3" w:rsidRPr="00CF2E7C" w:rsidRDefault="00442AC3" w:rsidP="00442AC3">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442AC3" w:rsidRPr="00CF2E7C" w:rsidRDefault="00442AC3" w:rsidP="00442AC3">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442AC3" w:rsidRPr="00CF2E7C" w:rsidRDefault="00442AC3" w:rsidP="00442AC3">
            <w:pPr>
              <w:rPr>
                <w:rFonts w:ascii="Calibri" w:hAnsi="Calibri" w:cs="Calibri"/>
              </w:rPr>
            </w:pPr>
          </w:p>
        </w:tc>
        <w:tc>
          <w:tcPr>
            <w:tcW w:w="1455" w:type="dxa"/>
            <w:gridSpan w:val="2"/>
            <w:vAlign w:val="center"/>
          </w:tcPr>
          <w:p w14:paraId="4035B265" w14:textId="77777777" w:rsidR="00442AC3" w:rsidRPr="00CF2E7C" w:rsidRDefault="00442AC3" w:rsidP="00442AC3">
            <w:pPr>
              <w:rPr>
                <w:rFonts w:ascii="Calibri" w:hAnsi="Calibri" w:cs="Calibri"/>
              </w:rPr>
            </w:pPr>
          </w:p>
        </w:tc>
        <w:tc>
          <w:tcPr>
            <w:tcW w:w="1505" w:type="dxa"/>
            <w:vAlign w:val="center"/>
          </w:tcPr>
          <w:p w14:paraId="6709B18B" w14:textId="5CE3E176" w:rsidR="00442AC3" w:rsidRPr="00CF2E7C" w:rsidRDefault="00442AC3" w:rsidP="00442AC3">
            <w:pPr>
              <w:rPr>
                <w:rFonts w:ascii="Calibri" w:hAnsi="Calibri" w:cs="Calibri"/>
              </w:rPr>
            </w:pPr>
            <w:r>
              <w:t>X</w:t>
            </w:r>
          </w:p>
        </w:tc>
      </w:tr>
      <w:tr w:rsidR="00442AC3" w:rsidRPr="009C4D10" w14:paraId="6E1F1A41" w14:textId="77777777" w:rsidTr="00CF2E7C">
        <w:trPr>
          <w:trHeight w:val="24"/>
        </w:trPr>
        <w:tc>
          <w:tcPr>
            <w:tcW w:w="1065" w:type="dxa"/>
            <w:vAlign w:val="center"/>
          </w:tcPr>
          <w:p w14:paraId="16418396" w14:textId="4F23F845" w:rsidR="00442AC3" w:rsidRPr="00CF2E7C" w:rsidRDefault="00442AC3" w:rsidP="00442AC3">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442AC3" w:rsidRPr="00CF2E7C" w:rsidRDefault="00442AC3" w:rsidP="00442AC3">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442AC3" w:rsidRPr="00CF2E7C" w:rsidRDefault="00442AC3" w:rsidP="00442AC3">
            <w:pPr>
              <w:rPr>
                <w:rFonts w:ascii="Calibri" w:hAnsi="Calibri" w:cs="Calibri"/>
              </w:rPr>
            </w:pPr>
          </w:p>
        </w:tc>
        <w:tc>
          <w:tcPr>
            <w:tcW w:w="1455" w:type="dxa"/>
            <w:gridSpan w:val="2"/>
            <w:vAlign w:val="center"/>
          </w:tcPr>
          <w:p w14:paraId="22BF6C29" w14:textId="77777777" w:rsidR="00442AC3" w:rsidRPr="00CF2E7C" w:rsidRDefault="00442AC3" w:rsidP="00442AC3">
            <w:pPr>
              <w:rPr>
                <w:rFonts w:ascii="Calibri" w:hAnsi="Calibri" w:cs="Calibri"/>
              </w:rPr>
            </w:pPr>
          </w:p>
        </w:tc>
        <w:tc>
          <w:tcPr>
            <w:tcW w:w="1505" w:type="dxa"/>
            <w:vAlign w:val="center"/>
          </w:tcPr>
          <w:p w14:paraId="24A5223C" w14:textId="0C60556C" w:rsidR="00442AC3" w:rsidRPr="00CF2E7C" w:rsidRDefault="00442AC3" w:rsidP="00442AC3">
            <w:pPr>
              <w:rPr>
                <w:rFonts w:ascii="Calibri" w:hAnsi="Calibri" w:cs="Calibri"/>
              </w:rPr>
            </w:pPr>
            <w:r>
              <w:t>X</w:t>
            </w:r>
          </w:p>
        </w:tc>
      </w:tr>
      <w:tr w:rsidR="00442AC3" w:rsidRPr="009C4D10" w14:paraId="719820F8" w14:textId="77777777" w:rsidTr="00CF2E7C">
        <w:trPr>
          <w:trHeight w:val="300"/>
        </w:trPr>
        <w:tc>
          <w:tcPr>
            <w:tcW w:w="1065" w:type="dxa"/>
            <w:vAlign w:val="center"/>
          </w:tcPr>
          <w:p w14:paraId="3A3F343D" w14:textId="5FF435E2" w:rsidR="00442AC3" w:rsidRPr="00CF2E7C" w:rsidRDefault="00442AC3" w:rsidP="00442AC3">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442AC3" w:rsidRPr="00CF2E7C" w:rsidRDefault="00442AC3" w:rsidP="00442AC3">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442AC3" w:rsidRPr="00CF2E7C" w:rsidRDefault="00442AC3" w:rsidP="00442AC3">
            <w:pPr>
              <w:rPr>
                <w:rFonts w:ascii="Calibri" w:hAnsi="Calibri" w:cs="Calibri"/>
              </w:rPr>
            </w:pPr>
          </w:p>
        </w:tc>
        <w:tc>
          <w:tcPr>
            <w:tcW w:w="1455" w:type="dxa"/>
            <w:gridSpan w:val="2"/>
            <w:vAlign w:val="center"/>
          </w:tcPr>
          <w:p w14:paraId="4E9DEEA5" w14:textId="77777777" w:rsidR="00442AC3" w:rsidRPr="00CF2E7C" w:rsidRDefault="00442AC3" w:rsidP="00442AC3">
            <w:pPr>
              <w:rPr>
                <w:rFonts w:ascii="Calibri" w:hAnsi="Calibri" w:cs="Calibri"/>
              </w:rPr>
            </w:pPr>
          </w:p>
        </w:tc>
        <w:tc>
          <w:tcPr>
            <w:tcW w:w="1505" w:type="dxa"/>
            <w:vAlign w:val="center"/>
          </w:tcPr>
          <w:p w14:paraId="1BD9121A" w14:textId="031106B4" w:rsidR="00442AC3" w:rsidRPr="00CF2E7C" w:rsidRDefault="00442AC3" w:rsidP="00442AC3">
            <w:pPr>
              <w:rPr>
                <w:rFonts w:ascii="Calibri" w:hAnsi="Calibri" w:cs="Calibri"/>
              </w:rPr>
            </w:pPr>
            <w:r>
              <w:t>X</w:t>
            </w:r>
          </w:p>
        </w:tc>
      </w:tr>
      <w:tr w:rsidR="00442AC3" w:rsidRPr="009C4D10" w14:paraId="17DAFD7B" w14:textId="77777777" w:rsidTr="00CF2E7C">
        <w:trPr>
          <w:trHeight w:val="300"/>
        </w:trPr>
        <w:tc>
          <w:tcPr>
            <w:tcW w:w="1065" w:type="dxa"/>
            <w:vAlign w:val="center"/>
          </w:tcPr>
          <w:p w14:paraId="7435CCC4" w14:textId="7751F044" w:rsidR="00442AC3" w:rsidRPr="00CF2E7C" w:rsidRDefault="00442AC3" w:rsidP="00442AC3">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442AC3" w:rsidRPr="00CF2E7C" w:rsidRDefault="00442AC3" w:rsidP="00442AC3">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442AC3" w:rsidRPr="00CF2E7C" w:rsidRDefault="00442AC3" w:rsidP="00442AC3">
            <w:pPr>
              <w:rPr>
                <w:rFonts w:ascii="Calibri" w:hAnsi="Calibri" w:cs="Calibri"/>
              </w:rPr>
            </w:pPr>
          </w:p>
        </w:tc>
        <w:tc>
          <w:tcPr>
            <w:tcW w:w="1455" w:type="dxa"/>
            <w:gridSpan w:val="2"/>
            <w:vAlign w:val="center"/>
          </w:tcPr>
          <w:p w14:paraId="5AC2C5A5" w14:textId="77777777" w:rsidR="00442AC3" w:rsidRPr="00CF2E7C" w:rsidRDefault="00442AC3" w:rsidP="00442AC3">
            <w:pPr>
              <w:rPr>
                <w:rFonts w:ascii="Calibri" w:hAnsi="Calibri" w:cs="Calibri"/>
              </w:rPr>
            </w:pPr>
          </w:p>
        </w:tc>
        <w:tc>
          <w:tcPr>
            <w:tcW w:w="1505" w:type="dxa"/>
            <w:vAlign w:val="center"/>
          </w:tcPr>
          <w:p w14:paraId="7D2537CF" w14:textId="4E1F5D04" w:rsidR="00442AC3" w:rsidRPr="00CF2E7C" w:rsidRDefault="00442AC3" w:rsidP="00442AC3">
            <w:pPr>
              <w:rPr>
                <w:rFonts w:ascii="Calibri" w:hAnsi="Calibri" w:cs="Calibri"/>
              </w:rPr>
            </w:pPr>
            <w:r>
              <w:t>X</w:t>
            </w:r>
          </w:p>
        </w:tc>
      </w:tr>
      <w:tr w:rsidR="00442AC3" w:rsidRPr="009C4D10" w14:paraId="79E37C47" w14:textId="77777777" w:rsidTr="00CF2E7C">
        <w:trPr>
          <w:trHeight w:val="300"/>
        </w:trPr>
        <w:tc>
          <w:tcPr>
            <w:tcW w:w="1065" w:type="dxa"/>
            <w:vAlign w:val="center"/>
          </w:tcPr>
          <w:p w14:paraId="473B2622" w14:textId="38397B39" w:rsidR="00442AC3" w:rsidRPr="00CF2E7C" w:rsidRDefault="00442AC3" w:rsidP="00442AC3">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442AC3" w:rsidRPr="00CF2E7C" w:rsidRDefault="00442AC3" w:rsidP="00442AC3">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442AC3" w:rsidRPr="00CF2E7C" w:rsidRDefault="00442AC3" w:rsidP="00442AC3">
            <w:pPr>
              <w:rPr>
                <w:rFonts w:ascii="Calibri" w:hAnsi="Calibri" w:cs="Calibri"/>
              </w:rPr>
            </w:pPr>
          </w:p>
        </w:tc>
        <w:tc>
          <w:tcPr>
            <w:tcW w:w="1455" w:type="dxa"/>
            <w:gridSpan w:val="2"/>
            <w:vAlign w:val="center"/>
          </w:tcPr>
          <w:p w14:paraId="1D284466" w14:textId="77777777" w:rsidR="00442AC3" w:rsidRPr="00CF2E7C" w:rsidRDefault="00442AC3" w:rsidP="00442AC3">
            <w:pPr>
              <w:rPr>
                <w:rFonts w:ascii="Calibri" w:hAnsi="Calibri" w:cs="Calibri"/>
              </w:rPr>
            </w:pPr>
          </w:p>
        </w:tc>
        <w:tc>
          <w:tcPr>
            <w:tcW w:w="1505" w:type="dxa"/>
            <w:vAlign w:val="center"/>
          </w:tcPr>
          <w:p w14:paraId="2CD4C703" w14:textId="4E0B49CA" w:rsidR="00442AC3" w:rsidRPr="00CF2E7C" w:rsidRDefault="00442AC3" w:rsidP="00442AC3">
            <w:pPr>
              <w:rPr>
                <w:rFonts w:ascii="Calibri" w:hAnsi="Calibri" w:cs="Calibri"/>
              </w:rPr>
            </w:pPr>
            <w:r>
              <w:t>X</w:t>
            </w:r>
          </w:p>
        </w:tc>
      </w:tr>
      <w:tr w:rsidR="00442AC3" w:rsidRPr="009C4D10" w14:paraId="32DC1CDD" w14:textId="77777777" w:rsidTr="00CF2E7C">
        <w:trPr>
          <w:trHeight w:val="300"/>
        </w:trPr>
        <w:tc>
          <w:tcPr>
            <w:tcW w:w="1065" w:type="dxa"/>
            <w:vAlign w:val="center"/>
          </w:tcPr>
          <w:p w14:paraId="2723A6DB" w14:textId="67A7AD21" w:rsidR="00442AC3" w:rsidRPr="00CF2E7C" w:rsidRDefault="00442AC3" w:rsidP="00442AC3">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442AC3" w:rsidRPr="00CF2E7C" w:rsidRDefault="00442AC3" w:rsidP="00442AC3">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442AC3" w:rsidRPr="00CF2E7C" w:rsidRDefault="00442AC3" w:rsidP="00442AC3">
            <w:pPr>
              <w:rPr>
                <w:rFonts w:ascii="Calibri" w:hAnsi="Calibri" w:cs="Calibri"/>
              </w:rPr>
            </w:pPr>
          </w:p>
        </w:tc>
        <w:tc>
          <w:tcPr>
            <w:tcW w:w="1455" w:type="dxa"/>
            <w:gridSpan w:val="2"/>
            <w:vAlign w:val="center"/>
          </w:tcPr>
          <w:p w14:paraId="5A7414BC" w14:textId="77777777" w:rsidR="00442AC3" w:rsidRPr="00CF2E7C" w:rsidRDefault="00442AC3" w:rsidP="00442AC3">
            <w:pPr>
              <w:rPr>
                <w:rFonts w:ascii="Calibri" w:hAnsi="Calibri" w:cs="Calibri"/>
              </w:rPr>
            </w:pPr>
          </w:p>
        </w:tc>
        <w:tc>
          <w:tcPr>
            <w:tcW w:w="1505" w:type="dxa"/>
            <w:vAlign w:val="center"/>
          </w:tcPr>
          <w:p w14:paraId="324C4411" w14:textId="7511F9BE" w:rsidR="00442AC3" w:rsidRPr="00CF2E7C" w:rsidRDefault="00442AC3" w:rsidP="00442AC3">
            <w:pPr>
              <w:rPr>
                <w:rFonts w:ascii="Calibri" w:hAnsi="Calibri" w:cs="Calibri"/>
              </w:rPr>
            </w:pPr>
            <w:r>
              <w:t>X</w:t>
            </w:r>
          </w:p>
        </w:tc>
      </w:tr>
      <w:tr w:rsidR="00442AC3" w:rsidRPr="009C4D10" w14:paraId="719D5881" w14:textId="77777777" w:rsidTr="00CF2E7C">
        <w:trPr>
          <w:trHeight w:val="24"/>
        </w:trPr>
        <w:tc>
          <w:tcPr>
            <w:tcW w:w="1065" w:type="dxa"/>
            <w:vAlign w:val="center"/>
          </w:tcPr>
          <w:p w14:paraId="414C1836" w14:textId="32974EF8" w:rsidR="00442AC3" w:rsidRPr="00CF2E7C" w:rsidRDefault="00442AC3" w:rsidP="00442AC3">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442AC3" w:rsidRPr="00CF2E7C" w:rsidRDefault="00442AC3" w:rsidP="00442AC3">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1924CC33" w:rsidR="00442AC3" w:rsidRPr="00CF2E7C" w:rsidRDefault="00442AC3" w:rsidP="00442AC3">
            <w:pPr>
              <w:rPr>
                <w:rFonts w:ascii="Calibri" w:hAnsi="Calibri" w:cs="Calibri"/>
              </w:rPr>
            </w:pPr>
            <w:r>
              <w:t>X</w:t>
            </w:r>
          </w:p>
        </w:tc>
        <w:tc>
          <w:tcPr>
            <w:tcW w:w="1455" w:type="dxa"/>
            <w:gridSpan w:val="2"/>
            <w:vAlign w:val="center"/>
          </w:tcPr>
          <w:p w14:paraId="52DD1FFC" w14:textId="77777777" w:rsidR="00442AC3" w:rsidRPr="00CF2E7C" w:rsidRDefault="00442AC3" w:rsidP="00442AC3">
            <w:pPr>
              <w:rPr>
                <w:rFonts w:ascii="Calibri" w:hAnsi="Calibri" w:cs="Calibri"/>
              </w:rPr>
            </w:pPr>
          </w:p>
        </w:tc>
        <w:tc>
          <w:tcPr>
            <w:tcW w:w="1505" w:type="dxa"/>
            <w:vAlign w:val="center"/>
          </w:tcPr>
          <w:p w14:paraId="0820E928" w14:textId="77777777" w:rsidR="00442AC3" w:rsidRPr="00CF2E7C" w:rsidRDefault="00442AC3" w:rsidP="00442AC3">
            <w:pPr>
              <w:rPr>
                <w:rFonts w:ascii="Calibri" w:hAnsi="Calibri" w:cs="Calibri"/>
              </w:rPr>
            </w:pPr>
          </w:p>
        </w:tc>
      </w:tr>
      <w:tr w:rsidR="00442AC3" w:rsidRPr="009C4D10" w14:paraId="048B2A89" w14:textId="77777777" w:rsidTr="00CF2E7C">
        <w:trPr>
          <w:trHeight w:val="24"/>
        </w:trPr>
        <w:tc>
          <w:tcPr>
            <w:tcW w:w="1065" w:type="dxa"/>
            <w:vAlign w:val="center"/>
          </w:tcPr>
          <w:p w14:paraId="3C5936D0" w14:textId="05729924" w:rsidR="00442AC3" w:rsidRPr="00CF2E7C" w:rsidRDefault="00442AC3" w:rsidP="00442AC3">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442AC3" w:rsidRPr="00CF2E7C" w:rsidRDefault="00442AC3" w:rsidP="00442AC3">
            <w:pPr>
              <w:rPr>
                <w:rFonts w:ascii="Calibri" w:hAnsi="Calibri" w:cs="Calibri"/>
              </w:rPr>
            </w:pPr>
            <w:r w:rsidRPr="00CF2E7C">
              <w:rPr>
                <w:rFonts w:ascii="Calibri" w:hAnsi="Calibri" w:cs="Calibri"/>
              </w:rPr>
              <w:t>Other</w:t>
            </w:r>
          </w:p>
        </w:tc>
        <w:tc>
          <w:tcPr>
            <w:tcW w:w="1456" w:type="dxa"/>
            <w:vAlign w:val="center"/>
          </w:tcPr>
          <w:p w14:paraId="0AD5C2B3" w14:textId="77777777" w:rsidR="00442AC3" w:rsidRPr="00CF2E7C" w:rsidRDefault="00442AC3" w:rsidP="00442AC3">
            <w:pPr>
              <w:rPr>
                <w:rFonts w:ascii="Calibri" w:hAnsi="Calibri" w:cs="Calibri"/>
              </w:rPr>
            </w:pPr>
          </w:p>
        </w:tc>
        <w:tc>
          <w:tcPr>
            <w:tcW w:w="1455" w:type="dxa"/>
            <w:gridSpan w:val="2"/>
            <w:vAlign w:val="center"/>
          </w:tcPr>
          <w:p w14:paraId="459AF8B6" w14:textId="77777777" w:rsidR="00442AC3" w:rsidRPr="00CF2E7C" w:rsidRDefault="00442AC3" w:rsidP="00442AC3">
            <w:pPr>
              <w:rPr>
                <w:rFonts w:ascii="Calibri" w:hAnsi="Calibri" w:cs="Calibri"/>
              </w:rPr>
            </w:pPr>
          </w:p>
        </w:tc>
        <w:tc>
          <w:tcPr>
            <w:tcW w:w="1505" w:type="dxa"/>
            <w:vAlign w:val="center"/>
          </w:tcPr>
          <w:p w14:paraId="654433FC" w14:textId="16459667" w:rsidR="00442AC3" w:rsidRPr="00CF2E7C" w:rsidRDefault="00442AC3" w:rsidP="00442AC3">
            <w:pPr>
              <w:rPr>
                <w:rFonts w:ascii="Calibri" w:hAnsi="Calibri" w:cs="Calibri"/>
              </w:rPr>
            </w:pPr>
            <w: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A27E1FB" w:rsidR="00DD292A" w:rsidRPr="00CF2E7C" w:rsidRDefault="00A911B5" w:rsidP="00CF2E7C">
            <w:pPr>
              <w:rPr>
                <w:rFonts w:ascii="Calibri" w:hAnsi="Calibri" w:cs="Calibri"/>
              </w:rPr>
            </w:pPr>
            <w:r>
              <w:rPr>
                <w:rFonts w:ascii="Calibri" w:hAnsi="Calibri" w:cs="Calibri"/>
              </w:rPr>
              <w:t>X</w:t>
            </w:r>
          </w:p>
        </w:tc>
        <w:tc>
          <w:tcPr>
            <w:tcW w:w="1455" w:type="dxa"/>
            <w:gridSpan w:val="2"/>
            <w:vAlign w:val="center"/>
          </w:tcPr>
          <w:p w14:paraId="135AE0CB" w14:textId="5715142D"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17CB037" w:rsidR="00DD292A" w:rsidRPr="00CF2E7C" w:rsidRDefault="00216270"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64711698"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5EB3F2D0" w:rsidR="00DD292A" w:rsidRPr="00CF2E7C" w:rsidRDefault="00A911B5"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6EAC5865" w:rsidR="00DD292A" w:rsidRPr="00CF2E7C" w:rsidRDefault="003B2237"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64C81605" w:rsidR="00DD292A" w:rsidRPr="00CF2E7C" w:rsidRDefault="003B2237"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6B01BD6B" w:rsidR="00DD292A" w:rsidRPr="00CF2E7C" w:rsidRDefault="003B2237"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5937D58E" w:rsidR="00DD292A" w:rsidRPr="00CF2E7C" w:rsidRDefault="00B47421"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4E088FC3" w:rsidR="00DD292A" w:rsidRPr="00CF2E7C" w:rsidRDefault="00B47421"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39800A40" w:rsidR="00DD292A" w:rsidRPr="00CF2E7C" w:rsidRDefault="00B47421"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00160E00" w:rsidR="00DD292A" w:rsidRPr="00CF2E7C" w:rsidRDefault="00B47421"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923B3D2" w:rsidR="00DD292A" w:rsidRPr="00CF2E7C" w:rsidRDefault="00B47421"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19B6645F" w:rsidR="00DD292A" w:rsidRPr="00CF2E7C" w:rsidRDefault="00B47421"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053552E7" w:rsidR="00DD292A" w:rsidRPr="00CF2E7C" w:rsidRDefault="00B47421"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69BA18D8" w:rsidR="00DD292A" w:rsidRPr="00CF2E7C" w:rsidRDefault="00B47421"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35807C3" w:rsidR="00DD292A" w:rsidRPr="00CF2E7C" w:rsidRDefault="00B47421"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32E8FE5" w:rsidR="00DD292A" w:rsidRPr="00CF2E7C" w:rsidRDefault="00B47421"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2C5305AE" w:rsidR="00DD292A" w:rsidRPr="00CF2E7C" w:rsidRDefault="00B47421"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080DB49D" w:rsidR="00DD292A" w:rsidRPr="00CF2E7C" w:rsidRDefault="00B47421"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10D6B1B2" w:rsidR="00DD292A" w:rsidRPr="00CF2E7C" w:rsidRDefault="00B47421"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176BB828" w:rsidR="00DD292A" w:rsidRPr="00CF2E7C" w:rsidRDefault="00B47421"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1A849CBE" w:rsidR="00DD292A" w:rsidRPr="00CF2E7C" w:rsidRDefault="00B47421"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C7DE011" w:rsidR="00DD292A" w:rsidRPr="00CF2E7C" w:rsidRDefault="00B47421"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3409CB1C" w:rsidR="00DD292A" w:rsidRPr="00CF2E7C" w:rsidRDefault="00B47421"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6C1D067" w:rsidR="00DD292A" w:rsidRPr="00CF2E7C" w:rsidRDefault="00B47421"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0464FA74" w:rsidR="00DD292A" w:rsidRPr="00CF2E7C" w:rsidRDefault="00B47421"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30E8F182" w:rsidR="00DD292A" w:rsidRPr="00CF2E7C" w:rsidRDefault="00B47421"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385D8FF" w:rsidR="00DD292A" w:rsidRPr="00CF2E7C" w:rsidRDefault="00B47421"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0E2A77E" w:rsidR="00DD292A" w:rsidRPr="00CF2E7C" w:rsidRDefault="00B47421"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41457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0538A" w:rsidRDefault="00DD292A" w:rsidP="00CF2E7C">
            <w:pPr>
              <w:rPr>
                <w:rFonts w:ascii="Calibri" w:hAnsi="Calibri" w:cs="Calibri"/>
                <w:lang w:val="fr-FR"/>
              </w:rPr>
            </w:pPr>
            <w:r w:rsidRPr="0030538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0538A" w:rsidRDefault="00DD292A" w:rsidP="00CF2E7C">
            <w:pPr>
              <w:rPr>
                <w:rFonts w:ascii="Calibri" w:hAnsi="Calibri" w:cs="Calibri"/>
                <w:lang w:val="fr-FR"/>
              </w:rPr>
            </w:pPr>
          </w:p>
        </w:tc>
      </w:tr>
      <w:tr w:rsidR="00DD292A" w:rsidRPr="00D1195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58995C5" w:rsidR="00DD292A" w:rsidRPr="00442AC3" w:rsidRDefault="00216270" w:rsidP="00CF2E7C">
            <w:pPr>
              <w:rPr>
                <w:rFonts w:ascii="Calibri" w:hAnsi="Calibri" w:cs="Calibri"/>
              </w:rPr>
            </w:pPr>
            <w:r>
              <w:t xml:space="preserve">The policy tool is relevant for all firms within scope of SS3/19 </w:t>
            </w:r>
            <w:r w:rsidR="00F3367A">
              <w:t xml:space="preserve">– </w:t>
            </w:r>
            <w:r>
              <w:t>that is: a</w:t>
            </w:r>
            <w:r w:rsidR="00442AC3" w:rsidRPr="00442AC3">
              <w:t xml:space="preserve">ll UK insurance and reinsurance firms and groups, </w:t>
            </w:r>
            <w:r w:rsidR="00442AC3" w:rsidRPr="00216270">
              <w:rPr>
                <w:i/>
                <w:iCs/>
              </w:rPr>
              <w:t>i.e.</w:t>
            </w:r>
            <w:r w:rsidR="00442AC3" w:rsidRPr="00442AC3">
              <w:t xml:space="preserve">, those within the scope of </w:t>
            </w:r>
            <w:r w:rsidR="00F3367A">
              <w:rPr>
                <w:rFonts w:ascii="Calibri" w:hAnsi="Calibri" w:cs="Calibri"/>
              </w:rPr>
              <w:t>Solvency II (</w:t>
            </w:r>
            <w:r w:rsidR="00F3367A" w:rsidRPr="00782FF5">
              <w:rPr>
                <w:rFonts w:ascii="Calibri" w:hAnsi="Calibri" w:cs="Calibri"/>
              </w:rPr>
              <w:t>Directive 2009/138/EC</w:t>
            </w:r>
            <w:r w:rsidR="00F3367A">
              <w:rPr>
                <w:rFonts w:ascii="Calibri" w:hAnsi="Calibri" w:cs="Calibri"/>
              </w:rPr>
              <w:t xml:space="preserve">), </w:t>
            </w:r>
            <w:r w:rsidR="00442AC3" w:rsidRPr="00442AC3">
              <w:t xml:space="preserve">including the Society of Lloyd’s and managing agents (“Solvency II firms”) and non-Solvency II firms. </w:t>
            </w:r>
            <w:r w:rsidR="00F3367A">
              <w:t>This also includes</w:t>
            </w:r>
            <w:r w:rsidR="00442AC3" w:rsidRPr="00442AC3">
              <w:t xml:space="preserve"> banks, building societies, and </w:t>
            </w:r>
            <w:r w:rsidR="00F3367A">
              <w:t>PRA-</w:t>
            </w:r>
            <w:r w:rsidR="00442AC3" w:rsidRPr="00442AC3">
              <w:t>designated investment firms.</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42408C87" w:rsidR="00DD292A" w:rsidRPr="00CF2E7C" w:rsidRDefault="00B47421"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07811682"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E493B9C" w:rsidR="00DD3B33" w:rsidRPr="00CF2E7C" w:rsidRDefault="00216270"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A51DA85" w14:textId="66690221" w:rsidR="00216270" w:rsidRDefault="006C2956" w:rsidP="006C2956">
            <w:r>
              <w:t xml:space="preserve">The </w:t>
            </w:r>
            <w:r w:rsidR="00216270">
              <w:t xml:space="preserve">policy tool </w:t>
            </w:r>
            <w:r>
              <w:t>s</w:t>
            </w:r>
            <w:r w:rsidR="00216270">
              <w:t>tates</w:t>
            </w:r>
            <w:r>
              <w:t xml:space="preserve"> that </w:t>
            </w:r>
            <w:r w:rsidRPr="00836EA0">
              <w:t>“</w:t>
            </w:r>
            <w:r w:rsidRPr="00216270">
              <w:rPr>
                <w:i/>
                <w:iCs/>
              </w:rPr>
              <w:t>Firms judged not to have made sufficient progress in embedding our expectations should expect to be asked to provide a roadmap explaining how they intend to overcome the gaps. Supervisors will determine whether additional steps need to be taken to ensure risks are adequately being addressed and, if deemed appropriate, we may exercise the use of our wider supervisory toolkit</w:t>
            </w:r>
            <w:r w:rsidRPr="00836EA0">
              <w:t>”.</w:t>
            </w:r>
            <w:r>
              <w:t xml:space="preserve"> </w:t>
            </w:r>
          </w:p>
          <w:p w14:paraId="66277AE6" w14:textId="0E03B1D3" w:rsidR="006C2956" w:rsidRDefault="006C2956" w:rsidP="006C2956">
            <w:r>
              <w:t xml:space="preserve">The </w:t>
            </w:r>
            <w:r w:rsidR="00216270">
              <w:t>policy tool</w:t>
            </w:r>
            <w:r>
              <w:t xml:space="preserve"> also generally states that “</w:t>
            </w:r>
            <w:r w:rsidRPr="00216270">
              <w:rPr>
                <w:i/>
                <w:iCs/>
              </w:rPr>
              <w:t>compliance with the expectations in SS3/19 will be assessed on an ongoing basis and firms should continue to demonstrate effective management of climate risks through regular supervisory engagements and reviews.</w:t>
            </w:r>
            <w:r>
              <w:t>”</w:t>
            </w:r>
            <w:r w:rsidRPr="00836EA0">
              <w:t xml:space="preserve"> </w:t>
            </w:r>
          </w:p>
          <w:p w14:paraId="6BF4AF82" w14:textId="68F29B08" w:rsidR="00DD3B33" w:rsidRPr="006C2956" w:rsidRDefault="006C2956" w:rsidP="006C2956">
            <w:r>
              <w:t>Based on the survey submitted for SS3/19, t</w:t>
            </w:r>
            <w:r w:rsidRPr="00836EA0">
              <w:t>he supervisory toolkit includes powers of enforcement such as the ability to issue financial penalties, public censure against a firm or individual in breach of rules, or prohibitions on an individual working in the financial services sector – but the PRA will take a proportionate approach to application of its supervisory powers.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5383BBF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FCEE152"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A8BD7DD" w:rsidR="00DD292A" w:rsidRPr="00CF2E7C" w:rsidRDefault="00B47421"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76622AE" w:rsidR="00DD292A" w:rsidRPr="00CF2E7C" w:rsidRDefault="002A3925"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Pr>
          <w:lang w:val="en-SG"/>
        </w:rPr>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2094017" w:rsidR="00410853"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35A3702D" w:rsidR="00410853"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31C4FF9A" w:rsidR="00410853"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E0B0696" w:rsidR="00F632FB"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07B7F48" w:rsidR="00F632FB"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 </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A456D55" w:rsidR="00F632FB"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940473" w:rsidR="00F632FB"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C5A2B05" w:rsidR="008C4722"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B535DE0" w:rsidR="008C4722"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8B9259E" w:rsidR="008C4722"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7D12BD" w14:textId="002CAD35" w:rsidR="00AA735B" w:rsidRDefault="00AA735B" w:rsidP="00CF2E7C">
            <w:pPr>
              <w:textAlignment w:val="baseline"/>
            </w:pPr>
            <w:r>
              <w:t xml:space="preserve">The first page of the Dear CEO Letter does specifically call out the physical and transitional effects of climate change, noting that they pose financial and economic risks to the UK. </w:t>
            </w:r>
          </w:p>
          <w:p w14:paraId="7961CA39" w14:textId="0631BE3A" w:rsidR="008C4722" w:rsidRDefault="00AA735B" w:rsidP="00CF2E7C">
            <w:pPr>
              <w:textAlignment w:val="baseline"/>
            </w:pPr>
            <w:r>
              <w:t>By reference to the requirements of SS3/19 and how firm’s have embedded climate-related risk management processes, the policy tool also draws attention to firms’ risk management and scenario analysis capabilities under the heading ‘</w:t>
            </w:r>
            <w:r w:rsidRPr="00AA735B">
              <w:rPr>
                <w:i/>
                <w:iCs/>
              </w:rPr>
              <w:t>Levels of embeddedness and effective practices</w:t>
            </w:r>
            <w:r>
              <w:t>’ and in Annex A provides examples of effective and less effective practices</w:t>
            </w:r>
            <w:r w:rsidR="00BD68C7">
              <w:t xml:space="preserve"> in these areas</w:t>
            </w:r>
            <w:r>
              <w:t xml:space="preserve">.  </w:t>
            </w:r>
          </w:p>
          <w:p w14:paraId="58EA29AA" w14:textId="4836D95E" w:rsidR="00AA735B" w:rsidRPr="00BD68C7" w:rsidRDefault="00BD68C7" w:rsidP="00BD68C7">
            <w:pPr>
              <w:textAlignment w:val="baseline"/>
            </w:pPr>
            <w:r>
              <w:t>The policy tool is also aware of the need to take climate-related financial risks into consideration for accounting practices. The PRA notes under the heading ‘</w:t>
            </w:r>
            <w:r>
              <w:rPr>
                <w:i/>
                <w:iCs/>
              </w:rPr>
              <w:t>Climate and accounting</w:t>
            </w:r>
            <w:r>
              <w:t>’ that it will encourage firms to: “</w:t>
            </w:r>
            <w:r w:rsidRPr="00BD68C7">
              <w:rPr>
                <w:i/>
                <w:iCs/>
              </w:rPr>
              <w:t>to address capability gaps, we will play an active role in promoting high quality and consistent accounting for climate change.</w:t>
            </w:r>
            <w:r>
              <w:t>”</w:t>
            </w:r>
            <w:r w:rsidR="009E6050">
              <w:t xml:space="preserve">, this topic is further discussed in Annex B to the policy tool. </w:t>
            </w:r>
          </w:p>
          <w:p w14:paraId="39FC6AFA" w14:textId="4C031FB3" w:rsidR="00AA735B" w:rsidRPr="00CF2E7C" w:rsidRDefault="00AA735B"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4F2CDBA4" w:rsidR="008C4722"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06F2EF75" w:rsidR="008C4722"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34928ABC" w:rsidR="008C4722" w:rsidRPr="00CF2E7C" w:rsidRDefault="00B474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4E12BBB" w:rsidR="008C4722" w:rsidRPr="00CF2E7C" w:rsidRDefault="006C29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71F35E43" w:rsidR="008C4722" w:rsidRPr="00CF2E7C" w:rsidRDefault="00C91E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on p</w:t>
            </w:r>
            <w:r w:rsidR="00495234">
              <w:rPr>
                <w:rFonts w:ascii="Calibri" w:eastAsia="Times New Roman" w:hAnsi="Calibri" w:cs="Calibri"/>
                <w:kern w:val="0"/>
                <w:lang w:eastAsia="en-GB"/>
                <w14:ligatures w14:val="none"/>
              </w:rPr>
              <w:t>age</w:t>
            </w:r>
            <w:r>
              <w:rPr>
                <w:rFonts w:ascii="Calibri" w:eastAsia="Times New Roman" w:hAnsi="Calibri" w:cs="Calibri"/>
                <w:kern w:val="0"/>
                <w:lang w:eastAsia="en-GB"/>
                <w14:ligatures w14:val="none"/>
              </w:rPr>
              <w:t xml:space="preserve"> 4, under</w:t>
            </w:r>
            <w:r w:rsidR="00BD68C7">
              <w:rPr>
                <w:rFonts w:ascii="Calibri" w:eastAsia="Times New Roman" w:hAnsi="Calibri" w:cs="Calibri"/>
                <w:kern w:val="0"/>
                <w:lang w:eastAsia="en-GB"/>
                <w14:ligatures w14:val="none"/>
              </w:rPr>
              <w:t xml:space="preserve"> the heading</w:t>
            </w:r>
            <w:r>
              <w:rPr>
                <w:rFonts w:ascii="Calibri" w:eastAsia="Times New Roman" w:hAnsi="Calibri" w:cs="Calibri"/>
                <w:kern w:val="0"/>
                <w:lang w:eastAsia="en-GB"/>
                <w14:ligatures w14:val="none"/>
              </w:rPr>
              <w:t xml:space="preserve"> </w:t>
            </w:r>
            <w:r w:rsidR="00BD68C7">
              <w:rPr>
                <w:rFonts w:ascii="Calibri" w:eastAsia="Times New Roman" w:hAnsi="Calibri" w:cs="Calibri"/>
                <w:kern w:val="0"/>
                <w:lang w:eastAsia="en-GB"/>
                <w14:ligatures w14:val="none"/>
              </w:rPr>
              <w:t>‘</w:t>
            </w:r>
            <w:r w:rsidRPr="00BD68C7">
              <w:rPr>
                <w:rFonts w:ascii="Calibri" w:eastAsia="Times New Roman" w:hAnsi="Calibri" w:cs="Calibri"/>
                <w:i/>
                <w:iCs/>
                <w:kern w:val="0"/>
                <w:lang w:eastAsia="en-GB"/>
                <w14:ligatures w14:val="none"/>
              </w:rPr>
              <w:t>Climate and regulatory capital</w:t>
            </w:r>
            <w:r w:rsidR="00BD68C7">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00BD68C7">
              <w:rPr>
                <w:rFonts w:ascii="Calibri" w:eastAsia="Times New Roman" w:hAnsi="Calibri" w:cs="Calibri"/>
                <w:kern w:val="0"/>
                <w:lang w:eastAsia="en-GB"/>
                <w14:ligatures w14:val="none"/>
              </w:rPr>
              <w:t>notes</w:t>
            </w:r>
            <w:r>
              <w:rPr>
                <w:rFonts w:ascii="Calibri" w:eastAsia="Times New Roman" w:hAnsi="Calibri" w:cs="Calibri"/>
                <w:kern w:val="0"/>
                <w:lang w:eastAsia="en-GB"/>
                <w14:ligatures w14:val="none"/>
              </w:rPr>
              <w:t xml:space="preserve"> that the Bank of England </w:t>
            </w:r>
            <w:r w:rsidR="00BD68C7">
              <w:rPr>
                <w:rFonts w:ascii="Calibri" w:eastAsia="Times New Roman" w:hAnsi="Calibri" w:cs="Calibri"/>
                <w:kern w:val="0"/>
                <w:lang w:eastAsia="en-GB"/>
                <w14:ligatures w14:val="none"/>
              </w:rPr>
              <w:t>is</w:t>
            </w:r>
            <w:r>
              <w:rPr>
                <w:rFonts w:ascii="Calibri" w:eastAsia="Times New Roman" w:hAnsi="Calibri" w:cs="Calibri"/>
                <w:kern w:val="0"/>
                <w:lang w:eastAsia="en-GB"/>
                <w14:ligatures w14:val="none"/>
              </w:rPr>
              <w:t xml:space="preserve"> working as part of the Basel Committee on Banking Supervision (BCBS) to </w:t>
            </w:r>
            <w:r>
              <w:rPr>
                <w:rFonts w:ascii="Calibri" w:eastAsia="Times New Roman" w:hAnsi="Calibri" w:cs="Calibri"/>
                <w:kern w:val="0"/>
                <w:lang w:eastAsia="en-GB"/>
                <w14:ligatures w14:val="none"/>
              </w:rPr>
              <w:lastRenderedPageBreak/>
              <w:t>understand how climate risks interact with BCBS standards; the</w:t>
            </w:r>
            <w:r w:rsidR="00BD68C7">
              <w:rPr>
                <w:rFonts w:ascii="Calibri" w:eastAsia="Times New Roman" w:hAnsi="Calibri" w:cs="Calibri"/>
                <w:kern w:val="0"/>
                <w:lang w:eastAsia="en-GB"/>
                <w14:ligatures w14:val="none"/>
              </w:rPr>
              <w:t xml:space="preserve"> policy</w:t>
            </w:r>
            <w:r>
              <w:rPr>
                <w:rFonts w:ascii="Calibri" w:eastAsia="Times New Roman" w:hAnsi="Calibri" w:cs="Calibri"/>
                <w:kern w:val="0"/>
                <w:lang w:eastAsia="en-GB"/>
                <w14:ligatures w14:val="none"/>
              </w:rPr>
              <w:t xml:space="preserve"> tool does not require integration of specific pillars in the Basel regulatory framework.</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452654E1" w:rsidR="007B7DEE" w:rsidRPr="00CF2E7C" w:rsidRDefault="00872A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4C466BDA" w:rsidR="00ED7E12" w:rsidRPr="00CF2E7C" w:rsidRDefault="004636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32B42BE3" w:rsidR="00ED7E12" w:rsidRPr="00872AF7" w:rsidRDefault="006C2956" w:rsidP="00CF2E7C">
            <w:pPr>
              <w:textAlignment w:val="baseline"/>
              <w:rPr>
                <w:rFonts w:ascii="Calibri" w:eastAsia="Times New Roman" w:hAnsi="Calibri" w:cs="Calibri"/>
                <w:kern w:val="0"/>
                <w:highlight w:val="yellow"/>
                <w:lang w:eastAsia="en-GB"/>
                <w14:ligatures w14:val="none"/>
              </w:rPr>
            </w:pPr>
            <w:r w:rsidRPr="009E6050">
              <w:rPr>
                <w:rFonts w:ascii="Calibri" w:eastAsia="Times New Roman" w:hAnsi="Calibri" w:cs="Calibri"/>
                <w:kern w:val="0"/>
                <w:lang w:eastAsia="en-GB"/>
                <w14:ligatures w14:val="none"/>
              </w:rPr>
              <w:t>The</w:t>
            </w:r>
            <w:r w:rsidRPr="007B728E">
              <w:rPr>
                <w:rFonts w:ascii="Calibri" w:eastAsia="Times New Roman" w:hAnsi="Calibri" w:cs="Calibri"/>
                <w:kern w:val="0"/>
                <w:lang w:eastAsia="en-GB"/>
                <w14:ligatures w14:val="none"/>
              </w:rPr>
              <w:t xml:space="preserve"> letter </w:t>
            </w:r>
            <w:r w:rsidRPr="007B728E">
              <w:t xml:space="preserve"> generally</w:t>
            </w:r>
            <w:r>
              <w:t xml:space="preserve"> states that “c</w:t>
            </w:r>
            <w:r w:rsidRPr="00836EA0">
              <w:t>ompliance with the expectations in SS3/19 will be assessed on an ongoing basis and firms should continue to demonstrate effective management of climate risks through regular supervisory engagements and reviews.</w:t>
            </w:r>
            <w:r>
              <w:t>”</w:t>
            </w:r>
            <w:r w:rsidRPr="00836EA0">
              <w:t xml:space="preserv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FA8836A" w:rsidR="00702413" w:rsidRPr="00CF2E7C" w:rsidRDefault="00872A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1E067DE" w:rsidR="00702413" w:rsidRPr="00CF2E7C" w:rsidRDefault="006C4E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4EC635A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2AF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250602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2AF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552DFD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092A43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27F5B3EA" w:rsidR="00702413" w:rsidRPr="00CF2E7C" w:rsidRDefault="009E6050" w:rsidP="00CF2E7C">
            <w:pPr>
              <w:textAlignment w:val="baseline"/>
              <w:rPr>
                <w:rFonts w:ascii="Calibri" w:eastAsia="Times New Roman" w:hAnsi="Calibri" w:cs="Calibri"/>
                <w:kern w:val="0"/>
                <w:lang w:eastAsia="en-GB"/>
                <w14:ligatures w14:val="none"/>
              </w:rPr>
            </w:pPr>
            <w:r w:rsidRPr="009E6050">
              <w:rPr>
                <w:rFonts w:ascii="Calibri" w:eastAsia="Times New Roman" w:hAnsi="Calibri" w:cs="Calibri"/>
                <w:kern w:val="0"/>
                <w:lang w:val="en-SG" w:eastAsia="en-GB"/>
                <w14:ligatures w14:val="none"/>
              </w:rPr>
              <w:t>X</w:t>
            </w:r>
          </w:p>
        </w:tc>
      </w:tr>
      <w:tr w:rsidR="009E6050" w:rsidRPr="009C4D10" w14:paraId="2FD170EE" w14:textId="77777777" w:rsidTr="009E605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9E6050" w:rsidRPr="00CF2E7C" w:rsidRDefault="009E6050" w:rsidP="009E605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9E6050" w:rsidRPr="00CF2E7C" w:rsidRDefault="009E6050" w:rsidP="009E605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6A9A033C" w:rsidR="009E6050" w:rsidRPr="00CF2E7C" w:rsidRDefault="009E6050" w:rsidP="009E605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59DBB3F7" w14:textId="00EB6B9C" w:rsidR="009E6050" w:rsidRPr="00CF2E7C" w:rsidRDefault="009E6050" w:rsidP="009E6050">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12ABFA87" w:rsidR="009E6050" w:rsidRPr="00CF2E7C" w:rsidRDefault="009E6050" w:rsidP="009E6050">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E09BAB0" w:rsidR="00C82860" w:rsidRPr="00CF2E7C" w:rsidRDefault="006C4E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29C0F54" w14:textId="77777777" w:rsidR="00AD316F" w:rsidRDefault="000322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While there are no set thresholds, the policy tool enforces governance practices and disclosure in accordance with the TCFD guidelines.</w:t>
            </w:r>
            <w:r w:rsidR="00AD316F">
              <w:rPr>
                <w:rFonts w:ascii="Calibri" w:eastAsia="Times New Roman" w:hAnsi="Calibri" w:cs="Calibri"/>
                <w:kern w:val="0"/>
                <w:lang w:eastAsia="en-GB"/>
                <w14:ligatures w14:val="none"/>
              </w:rPr>
              <w:t xml:space="preserve"> It includes as examples of good practice, the </w:t>
            </w:r>
            <w:r w:rsidR="00AD316F">
              <w:rPr>
                <w:rFonts w:ascii="Calibri" w:eastAsia="Times New Roman" w:hAnsi="Calibri" w:cs="Calibri"/>
                <w:kern w:val="0"/>
                <w:lang w:eastAsia="en-GB"/>
                <w14:ligatures w14:val="none"/>
              </w:rPr>
              <w:lastRenderedPageBreak/>
              <w:t xml:space="preserve">implementation of a well-defined, quantitative Risk Appetite Statement (RAS) within firms’ risk management frameworks (RMFs) that addresses climate-related risk. </w:t>
            </w:r>
          </w:p>
          <w:p w14:paraId="4DEB14D8" w14:textId="3D4A869D" w:rsidR="00C82860" w:rsidRPr="00CF2E7C" w:rsidRDefault="00AD31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Additionally, the PRA found that firms </w:t>
            </w:r>
            <w:r w:rsidR="00E8330A">
              <w:rPr>
                <w:rFonts w:ascii="Calibri" w:eastAsia="Times New Roman" w:hAnsi="Calibri" w:cs="Calibri"/>
                <w:kern w:val="0"/>
                <w:lang w:eastAsia="en-GB"/>
                <w14:ligatures w14:val="none"/>
              </w:rPr>
              <w:t xml:space="preserve">who were best aligned to the TCFD recommendations on disclosure were those that consistently included such language across their annual reports, filings and Pillar 3 disclosures. </w:t>
            </w:r>
            <w:r>
              <w:rPr>
                <w:rFonts w:ascii="Calibri" w:eastAsia="Times New Roman" w:hAnsi="Calibri" w:cs="Calibri"/>
                <w:kern w:val="0"/>
                <w:lang w:eastAsia="en-GB"/>
                <w14:ligatures w14:val="none"/>
              </w:rPr>
              <w:t xml:space="preserve">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10B83AF" w:rsidR="00C82860" w:rsidRPr="00CF2E7C" w:rsidRDefault="000322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E8330A" w:rsidRPr="009C4D10" w14:paraId="5B4EFD55" w14:textId="77777777" w:rsidTr="00E8330A">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8F99E8E" w14:textId="22BCDC0F" w:rsidR="00E8330A" w:rsidRPr="00CF2E7C" w:rsidRDefault="00E8330A" w:rsidP="00E8330A">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BDC30F1" w:rsidR="00E8330A" w:rsidRPr="00CF2E7C" w:rsidRDefault="00E8330A" w:rsidP="00E8330A">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E8330A" w:rsidRPr="009C4D10" w14:paraId="1B7CF6B6" w14:textId="77777777" w:rsidTr="00E8330A">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B526773" w14:textId="4252E837" w:rsidR="00E8330A" w:rsidRPr="00CF2E7C" w:rsidRDefault="00E8330A" w:rsidP="00E8330A">
            <w:pPr>
              <w:tabs>
                <w:tab w:val="center" w:pos="843"/>
              </w:tabs>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F9C3C1B"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E8330A" w:rsidRPr="009C4D10" w14:paraId="26AD2862" w14:textId="77777777" w:rsidTr="00E8330A">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2C6F47D" w14:textId="01A36BBD" w:rsidR="00E8330A" w:rsidRPr="00CF2E7C" w:rsidRDefault="00E8330A" w:rsidP="00E8330A">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DBFDBAF"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E8330A" w:rsidRPr="009C4D10" w14:paraId="66EF45D2" w14:textId="77777777" w:rsidTr="00E8330A">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1C22886" w14:textId="7568D865" w:rsidR="00E8330A" w:rsidRPr="00CF2E7C" w:rsidRDefault="00E8330A" w:rsidP="00E8330A">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6F40D6D3" w:rsidR="00E8330A" w:rsidRPr="00CF2E7C" w:rsidRDefault="00E8330A" w:rsidP="00E8330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C82860" w:rsidRPr="009C4D10" w14:paraId="25602148" w14:textId="77777777" w:rsidTr="004429E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B5A0934" w14:textId="4C49E144" w:rsidR="00C82860" w:rsidRPr="00CF2E7C" w:rsidRDefault="004429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C237D88" w14:textId="43D7B0FC" w:rsidR="00336848" w:rsidRPr="00336848" w:rsidRDefault="004429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does not set out any specific metrics by which a firm should assess its portfolio exposures. It does, however, note that the PRA expects firms to have in place a “</w:t>
            </w:r>
            <w:r>
              <w:rPr>
                <w:rFonts w:ascii="Calibri" w:eastAsia="Times New Roman" w:hAnsi="Calibri" w:cs="Calibri"/>
                <w:i/>
                <w:iCs/>
                <w:kern w:val="0"/>
                <w:lang w:eastAsia="en-GB"/>
                <w14:ligatures w14:val="none"/>
              </w:rPr>
              <w:t>counterparty engagement strategy</w:t>
            </w:r>
            <w:r>
              <w:rPr>
                <w:rFonts w:ascii="Calibri" w:eastAsia="Times New Roman" w:hAnsi="Calibri" w:cs="Calibri"/>
                <w:kern w:val="0"/>
                <w:lang w:eastAsia="en-GB"/>
                <w14:ligatures w14:val="none"/>
              </w:rPr>
              <w:t xml:space="preserve">” that allows them to understand how counterparties will be affected by and manage their climate exposures </w:t>
            </w:r>
            <w:r w:rsidR="00336848">
              <w:rPr>
                <w:rFonts w:ascii="Calibri" w:eastAsia="Times New Roman" w:hAnsi="Calibri" w:cs="Calibri"/>
                <w:kern w:val="0"/>
                <w:lang w:eastAsia="en-GB"/>
                <w14:ligatures w14:val="none"/>
              </w:rPr>
              <w:t>(see page 3, ‘</w:t>
            </w:r>
            <w:r w:rsidR="00336848">
              <w:rPr>
                <w:rFonts w:ascii="Calibri" w:eastAsia="Times New Roman" w:hAnsi="Calibri" w:cs="Calibri"/>
                <w:i/>
                <w:iCs/>
                <w:kern w:val="0"/>
                <w:lang w:eastAsia="en-GB"/>
                <w14:ligatures w14:val="none"/>
              </w:rPr>
              <w:t>Counterparties’ exposures</w:t>
            </w:r>
            <w:r w:rsidR="00336848">
              <w:rPr>
                <w:rFonts w:ascii="Calibri" w:eastAsia="Times New Roman" w:hAnsi="Calibri" w:cs="Calibri"/>
                <w:kern w:val="0"/>
                <w:lang w:eastAsia="en-GB"/>
                <w14:ligatures w14:val="none"/>
              </w:rPr>
              <w:t xml:space="preserve">’). </w:t>
            </w:r>
          </w:p>
          <w:p w14:paraId="593BA361" w14:textId="44AD8478" w:rsidR="00C82860" w:rsidRPr="00336848" w:rsidRDefault="004429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This included the development of processes by which a firm can adequately collect and assess data on their counterparties exposures to climate-related risk</w:t>
            </w:r>
            <w:r w:rsidR="00336848">
              <w:rPr>
                <w:rFonts w:ascii="Calibri" w:eastAsia="Times New Roman" w:hAnsi="Calibri" w:cs="Calibri"/>
                <w:kern w:val="0"/>
                <w:lang w:eastAsia="en-GB"/>
                <w14:ligatures w14:val="none"/>
              </w:rPr>
              <w:t xml:space="preserve"> (see page 9, ‘</w:t>
            </w:r>
            <w:r w:rsidR="00336848">
              <w:rPr>
                <w:rFonts w:ascii="Calibri" w:eastAsia="Times New Roman" w:hAnsi="Calibri" w:cs="Calibri"/>
                <w:i/>
                <w:iCs/>
                <w:kern w:val="0"/>
                <w:lang w:eastAsia="en-GB"/>
                <w14:ligatures w14:val="none"/>
              </w:rPr>
              <w:t>Counterparties’ exposures</w:t>
            </w:r>
            <w:r w:rsidR="00336848">
              <w:rPr>
                <w:rFonts w:ascii="Calibri" w:eastAsia="Times New Roman" w:hAnsi="Calibri" w:cs="Calibri"/>
                <w:kern w:val="0"/>
                <w:lang w:eastAsia="en-GB"/>
                <w14:ligatures w14:val="none"/>
              </w:rPr>
              <w:t xml:space="preserve">’). </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16BDE45F" w:rsidR="00655FF7" w:rsidRPr="00CF2E7C"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DEEC0B2"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1B631846" w:rsidR="003032A9" w:rsidRPr="00CF2E7C"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43A70454" w:rsidR="003D5104" w:rsidRPr="00CF2E7C"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3243B0AD" w:rsidR="003D5104" w:rsidRPr="00CF2E7C" w:rsidRDefault="003368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7A9B207C" w:rsidR="00BE1F9E" w:rsidRPr="00CF2E7C" w:rsidRDefault="00D324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29A4C2C3"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32F1096" w14:textId="77777777" w:rsidR="00BE1F9E"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D32491">
              <w:rPr>
                <w:rFonts w:ascii="Calibri" w:eastAsia="Times New Roman" w:hAnsi="Calibri" w:cs="Calibri"/>
                <w:kern w:val="0"/>
                <w:lang w:eastAsia="en-GB"/>
                <w14:ligatures w14:val="none"/>
              </w:rPr>
              <w:t>On page 4, the policy tool notes under the sub-heading ‘</w:t>
            </w:r>
            <w:r w:rsidR="00D32491">
              <w:rPr>
                <w:rFonts w:ascii="Calibri" w:eastAsia="Times New Roman" w:hAnsi="Calibri" w:cs="Calibri"/>
                <w:i/>
                <w:iCs/>
                <w:kern w:val="0"/>
                <w:lang w:eastAsia="en-GB"/>
                <w14:ligatures w14:val="none"/>
              </w:rPr>
              <w:t>Scenario Analysis</w:t>
            </w:r>
            <w:r w:rsidR="00D32491">
              <w:rPr>
                <w:rFonts w:ascii="Calibri" w:eastAsia="Times New Roman" w:hAnsi="Calibri" w:cs="Calibri"/>
                <w:kern w:val="0"/>
                <w:lang w:eastAsia="en-GB"/>
                <w14:ligatures w14:val="none"/>
              </w:rPr>
              <w:t xml:space="preserve">’ that a firm should: </w:t>
            </w:r>
          </w:p>
          <w:p w14:paraId="7C97263A" w14:textId="77777777" w:rsidR="00D32491" w:rsidRDefault="00D32491" w:rsidP="00D3249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D32491">
              <w:rPr>
                <w:rFonts w:ascii="Calibri" w:eastAsia="Times New Roman" w:hAnsi="Calibri" w:cs="Calibri"/>
                <w:i/>
                <w:iCs/>
                <w:kern w:val="0"/>
                <w:lang w:eastAsia="en-GB"/>
                <w14:ligatures w14:val="none"/>
              </w:rPr>
              <w:t>be able to explain how the selected scenarios are relevant to their strategy and business and appropriately test their specific vulnerabilities, for example the extent to which scenarios cover extreme and less frequent events.</w:t>
            </w:r>
            <w:r>
              <w:rPr>
                <w:rFonts w:ascii="Calibri" w:eastAsia="Times New Roman" w:hAnsi="Calibri" w:cs="Calibri"/>
                <w:kern w:val="0"/>
                <w:lang w:eastAsia="en-GB"/>
                <w14:ligatures w14:val="none"/>
              </w:rPr>
              <w:t>”</w:t>
            </w:r>
          </w:p>
          <w:p w14:paraId="6DB75513" w14:textId="47091020" w:rsidR="00D32491" w:rsidRDefault="00D32491" w:rsidP="00D3249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Additionally, in Annex, on pages 10-11, under in the paragraph titled ‘</w:t>
            </w:r>
            <w:r>
              <w:rPr>
                <w:rFonts w:ascii="Calibri" w:eastAsia="Times New Roman" w:hAnsi="Calibri" w:cs="Calibri"/>
                <w:i/>
                <w:iCs/>
                <w:kern w:val="0"/>
                <w:lang w:eastAsia="en-GB"/>
                <w14:ligatures w14:val="none"/>
              </w:rPr>
              <w:t>Scenario design</w:t>
            </w:r>
            <w:r>
              <w:rPr>
                <w:rFonts w:ascii="Calibri" w:eastAsia="Times New Roman" w:hAnsi="Calibri" w:cs="Calibri"/>
                <w:kern w:val="0"/>
                <w:lang w:eastAsia="en-GB"/>
                <w14:ligatures w14:val="none"/>
              </w:rPr>
              <w:t xml:space="preserve">’ the PRA makes clear that firms should be using scenario’s that appropriately test their own vulnerabilities, noting that: </w:t>
            </w:r>
          </w:p>
          <w:p w14:paraId="3B7FC195" w14:textId="31B6DD28" w:rsidR="005A3B63" w:rsidRDefault="005A3B63" w:rsidP="005A3B6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5A3B63">
              <w:rPr>
                <w:rFonts w:ascii="Calibri" w:eastAsia="Times New Roman" w:hAnsi="Calibri" w:cs="Calibri"/>
                <w:i/>
                <w:iCs/>
                <w:kern w:val="0"/>
                <w:lang w:eastAsia="en-GB"/>
                <w14:ligatures w14:val="none"/>
              </w:rPr>
              <w:t>Effective scenario analysis involves running scenarios that are relevant to a firm’s business, and that appropriately test the firm’s specific vulnerabilities. For example, firms should consider both probabilistic events (</w:t>
            </w:r>
            <w:proofErr w:type="spellStart"/>
            <w:r w:rsidRPr="005A3B63">
              <w:rPr>
                <w:rFonts w:ascii="Calibri" w:eastAsia="Times New Roman" w:hAnsi="Calibri" w:cs="Calibri"/>
                <w:i/>
                <w:iCs/>
                <w:kern w:val="0"/>
                <w:lang w:eastAsia="en-GB"/>
                <w14:ligatures w14:val="none"/>
              </w:rPr>
              <w:t>eg</w:t>
            </w:r>
            <w:proofErr w:type="spellEnd"/>
            <w:r w:rsidRPr="005A3B63">
              <w:rPr>
                <w:rFonts w:ascii="Calibri" w:eastAsia="Times New Roman" w:hAnsi="Calibri" w:cs="Calibri"/>
                <w:i/>
                <w:iCs/>
                <w:kern w:val="0"/>
                <w:lang w:eastAsia="en-GB"/>
                <w14:ligatures w14:val="none"/>
              </w:rPr>
              <w:t xml:space="preserve"> changes in average weather patterns) and tail events (</w:t>
            </w:r>
            <w:proofErr w:type="spellStart"/>
            <w:r w:rsidRPr="005A3B63">
              <w:rPr>
                <w:rFonts w:ascii="Calibri" w:eastAsia="Times New Roman" w:hAnsi="Calibri" w:cs="Calibri"/>
                <w:i/>
                <w:iCs/>
                <w:kern w:val="0"/>
                <w:lang w:eastAsia="en-GB"/>
                <w14:ligatures w14:val="none"/>
              </w:rPr>
              <w:t>eg</w:t>
            </w:r>
            <w:proofErr w:type="spellEnd"/>
            <w:r w:rsidRPr="005A3B63">
              <w:rPr>
                <w:rFonts w:ascii="Calibri" w:eastAsia="Times New Roman" w:hAnsi="Calibri" w:cs="Calibri"/>
                <w:i/>
                <w:iCs/>
                <w:kern w:val="0"/>
                <w:lang w:eastAsia="en-GB"/>
                <w14:ligatures w14:val="none"/>
              </w:rPr>
              <w:t xml:space="preserve"> extreme weather events).</w:t>
            </w:r>
            <w:r>
              <w:rPr>
                <w:rFonts w:ascii="Calibri" w:eastAsia="Times New Roman" w:hAnsi="Calibri" w:cs="Calibri"/>
                <w:kern w:val="0"/>
                <w:lang w:eastAsia="en-GB"/>
                <w14:ligatures w14:val="none"/>
              </w:rPr>
              <w:t>”</w:t>
            </w:r>
          </w:p>
          <w:p w14:paraId="5C18CF55" w14:textId="77C3600A" w:rsidR="00D32491" w:rsidRPr="00D32491" w:rsidRDefault="00D32491" w:rsidP="00D32491">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09F1814" w:rsidR="00DC31BF" w:rsidRPr="00CF2E7C"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426B6DF7" w:rsidR="0098226E" w:rsidRPr="00CF2E7C"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2E666723" w:rsidR="00F10A6E" w:rsidRPr="00CF2E7C"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298F6B5B" w:rsidR="00F26296" w:rsidRPr="00CF2E7C" w:rsidRDefault="0019534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192369" w14:textId="5D70251F" w:rsidR="00D11196" w:rsidRDefault="002A3925" w:rsidP="00D1119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states that firms should now be able to satisfy supervisors that they have embedded scenario analysis into their risk management and business planning processes</w:t>
            </w:r>
            <w:r w:rsidR="00C93319">
              <w:rPr>
                <w:rFonts w:ascii="Calibri" w:eastAsia="Times New Roman" w:hAnsi="Calibri" w:cs="Calibri"/>
                <w:kern w:val="0"/>
                <w:lang w:eastAsia="en-GB"/>
                <w14:ligatures w14:val="none"/>
              </w:rPr>
              <w:t xml:space="preserve"> and demonstrate how the scenario analysis is being implemented throughout strategic and business decision-making (</w:t>
            </w:r>
            <w:r w:rsidR="005A3B63">
              <w:rPr>
                <w:rFonts w:ascii="Calibri" w:eastAsia="Times New Roman" w:hAnsi="Calibri" w:cs="Calibri"/>
                <w:kern w:val="0"/>
                <w:lang w:eastAsia="en-GB"/>
                <w14:ligatures w14:val="none"/>
              </w:rPr>
              <w:t>see page 4, sub-heading ‘</w:t>
            </w:r>
            <w:r w:rsidR="005A3B63">
              <w:rPr>
                <w:rFonts w:ascii="Calibri" w:eastAsia="Times New Roman" w:hAnsi="Calibri" w:cs="Calibri"/>
                <w:i/>
                <w:iCs/>
                <w:kern w:val="0"/>
                <w:lang w:eastAsia="en-GB"/>
                <w14:ligatures w14:val="none"/>
              </w:rPr>
              <w:t>Scenario analysis</w:t>
            </w:r>
            <w:r w:rsidR="005A3B63">
              <w:rPr>
                <w:rFonts w:ascii="Calibri" w:eastAsia="Times New Roman" w:hAnsi="Calibri" w:cs="Calibri"/>
                <w:kern w:val="0"/>
                <w:lang w:eastAsia="en-GB"/>
                <w14:ligatures w14:val="none"/>
              </w:rPr>
              <w:t>’</w:t>
            </w:r>
            <w:r w:rsidR="00C93319">
              <w:rPr>
                <w:rFonts w:ascii="Calibri" w:eastAsia="Times New Roman" w:hAnsi="Calibri" w:cs="Calibri"/>
                <w:kern w:val="0"/>
                <w:lang w:eastAsia="en-GB"/>
                <w14:ligatures w14:val="none"/>
              </w:rPr>
              <w:t>).</w:t>
            </w:r>
          </w:p>
          <w:p w14:paraId="02DA5710" w14:textId="4028529E" w:rsidR="005A3B63" w:rsidRPr="005A3B63" w:rsidRDefault="005A3B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Additionally, the scenario analysis should be used to address the vulnerabilities and activities of the specific firm in question. See pages 10 – 11, paragraph ‘</w:t>
            </w:r>
            <w:r>
              <w:rPr>
                <w:rFonts w:ascii="Calibri" w:eastAsia="Times New Roman" w:hAnsi="Calibri" w:cs="Calibri"/>
                <w:i/>
                <w:iCs/>
                <w:kern w:val="0"/>
                <w:lang w:eastAsia="en-GB"/>
                <w14:ligatures w14:val="none"/>
              </w:rPr>
              <w:t>Scenario design</w:t>
            </w:r>
            <w:r>
              <w:rPr>
                <w:rFonts w:ascii="Calibri" w:eastAsia="Times New Roman" w:hAnsi="Calibri" w:cs="Calibri"/>
                <w:kern w:val="0"/>
                <w:lang w:eastAsia="en-GB"/>
                <w14:ligatures w14:val="none"/>
              </w:rPr>
              <w:t xml:space="preserve">’. </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641B841A" w:rsidR="00F26296" w:rsidRPr="00CF2E7C" w:rsidRDefault="009D48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F26296" w:rsidRPr="00CF2E7C">
              <w:rPr>
                <w:rFonts w:ascii="Calibri" w:eastAsia="Times New Roman" w:hAnsi="Calibri" w:cs="Calibri"/>
                <w:kern w:val="0"/>
                <w:lang w:val="en-SG" w:eastAsia="en-GB"/>
                <w14:ligatures w14:val="none"/>
              </w:rPr>
              <w:t> </w:t>
            </w:r>
            <w:r w:rsidR="00F26296"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0EA7D24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4896">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lastRenderedPageBreak/>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573BD3A6" w:rsidR="00F26296" w:rsidRPr="00CF2E7C" w:rsidRDefault="009D48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B7BCBA8" w14:textId="48B904B5" w:rsidR="00AB065B" w:rsidRDefault="00AB06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On page 4, under the sub-heading ‘</w:t>
            </w:r>
            <w:r w:rsidRPr="00AB065B">
              <w:rPr>
                <w:rFonts w:ascii="Calibri" w:eastAsia="Times New Roman" w:hAnsi="Calibri" w:cs="Calibri"/>
                <w:i/>
                <w:iCs/>
                <w:kern w:val="0"/>
                <w:lang w:eastAsia="en-GB"/>
                <w14:ligatures w14:val="none"/>
              </w:rPr>
              <w:t>Capital</w:t>
            </w:r>
            <w:r>
              <w:rPr>
                <w:rFonts w:ascii="Calibri" w:eastAsia="Times New Roman" w:hAnsi="Calibri" w:cs="Calibri"/>
                <w:kern w:val="0"/>
                <w:lang w:eastAsia="en-GB"/>
                <w14:ligatures w14:val="none"/>
              </w:rPr>
              <w:t xml:space="preserve">’ the policy tool makes clear that climate-related risks should be a </w:t>
            </w:r>
            <w:r w:rsidR="00D11196">
              <w:rPr>
                <w:rFonts w:ascii="Calibri" w:eastAsia="Times New Roman" w:hAnsi="Calibri" w:cs="Calibri"/>
                <w:kern w:val="0"/>
                <w:lang w:eastAsia="en-GB"/>
                <w14:ligatures w14:val="none"/>
              </w:rPr>
              <w:t xml:space="preserve">clear part of a firm’s internal capital requirements: </w:t>
            </w:r>
          </w:p>
          <w:p w14:paraId="1FDFE93C" w14:textId="1740BFBB" w:rsidR="00F26296" w:rsidRPr="00CF2E7C" w:rsidRDefault="009D48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006232B5" w:rsidRPr="00AB065B">
              <w:rPr>
                <w:rFonts w:ascii="Calibri" w:eastAsia="Times New Roman" w:hAnsi="Calibri" w:cs="Calibri"/>
                <w:i/>
                <w:iCs/>
                <w:kern w:val="0"/>
                <w:lang w:eastAsia="en-GB"/>
                <w14:ligatures w14:val="none"/>
              </w:rPr>
              <w:t>Firms’ Own Risk and Solvency Assessments (ORSAs) or Internal Capital Adequacy Assessment Processes (ICAAPs) should by now, provide sufficient contextual information to allow a reader to understand analysis of climate risks and capital. Particular attention should be given to disclosure of methodologies and underlying assumptions, judgements, proxies, and consequent uncertainties. Firms should also by now be providing sufficient detail on their stress testing calculations and methodologies to allow a reader to assess whether assumptions and judgements are appropriate, and whether outputs are being correctly factored into the firm’s climate decisions. All firms should be able to explain to their supervisors, how they have got comfortable that any material climate risks are appropriately capitalised.</w:t>
            </w:r>
            <w:r w:rsidR="006232B5">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4C5C1D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F155C">
              <w:rPr>
                <w:rFonts w:ascii="Calibri" w:eastAsia="Times New Roman" w:hAnsi="Calibri" w:cs="Calibri"/>
                <w:kern w:val="0"/>
                <w:lang w:val="en-SG" w:eastAsia="en-GB"/>
                <w14:ligatures w14:val="none"/>
              </w:rPr>
              <w:t>X</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51A961B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F155C">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6A168DCF" w:rsidR="00B114FD" w:rsidRPr="00CF2E7C" w:rsidRDefault="000F15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23251AF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187B8AA" w:rsidR="00B114FD" w:rsidRPr="00CF2E7C" w:rsidRDefault="000F15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16131054" w:rsidR="00702413" w:rsidRPr="009C4D10" w:rsidRDefault="000F155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Slow adoption of the policy. The policy tool also provides examples of ineffective means of implementation and provides alternative solutions.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0D84057D" w:rsidR="00FE0EA5" w:rsidRPr="009C4D10" w:rsidRDefault="000F155C"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21558CD" w:rsidR="00FE0EA5" w:rsidRPr="009C4D10" w:rsidRDefault="000F155C" w:rsidP="00CF2E7C">
            <w:pPr>
              <w:rPr>
                <w:rFonts w:cstheme="minorHAnsi"/>
              </w:rPr>
            </w:pPr>
            <w:r>
              <w:rPr>
                <w:rFonts w:cstheme="minorHAnsi"/>
                <w:lang w:val="en-SG"/>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495234"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7FCB5C5" w:rsidR="00FE0EA5" w:rsidRPr="009C4D10" w:rsidRDefault="00FE0EA5" w:rsidP="00CF2E7C">
            <w:pPr>
              <w:rPr>
                <w:rFonts w:cstheme="minorHAnsi"/>
              </w:rPr>
            </w:pPr>
            <w:r w:rsidRPr="009C4D10">
              <w:rPr>
                <w:rFonts w:cstheme="minorHAnsi"/>
                <w:lang w:val="en-SG"/>
              </w:rPr>
              <w:t> </w:t>
            </w:r>
            <w:r w:rsidRPr="009C4D10">
              <w:rPr>
                <w:rFonts w:cstheme="minorHAnsi"/>
              </w:rPr>
              <w:t> </w:t>
            </w:r>
            <w:r w:rsidR="000F155C">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495234"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4D625CC" w:rsidR="00FE0EA5" w:rsidRPr="009C4D10" w:rsidRDefault="00FE0EA5" w:rsidP="00CF2E7C">
            <w:pPr>
              <w:rPr>
                <w:rFonts w:cstheme="minorHAnsi"/>
              </w:rPr>
            </w:pPr>
            <w:r w:rsidRPr="009C4D10">
              <w:rPr>
                <w:rFonts w:cstheme="minorHAnsi"/>
                <w:lang w:val="en-SG"/>
              </w:rPr>
              <w:t> </w:t>
            </w:r>
            <w:r w:rsidRPr="009C4D10">
              <w:rPr>
                <w:rFonts w:cstheme="minorHAnsi"/>
              </w:rPr>
              <w:t> </w:t>
            </w:r>
            <w:r w:rsidR="000F155C">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61468ECE" w:rsidR="00FE0EA5" w:rsidRPr="009C4D10" w:rsidRDefault="000F155C"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4F801F3" w:rsidR="00FE0EA5" w:rsidRPr="009C4D10" w:rsidRDefault="000F155C"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96FC708" w:rsidR="00FE0EA5" w:rsidRPr="009C4D10" w:rsidRDefault="00FE0EA5" w:rsidP="00CF2E7C">
            <w:pPr>
              <w:rPr>
                <w:rFonts w:cstheme="minorHAnsi"/>
              </w:rPr>
            </w:pPr>
            <w:r w:rsidRPr="009C4D10">
              <w:rPr>
                <w:rFonts w:cstheme="minorHAnsi"/>
                <w:lang w:val="en-SG"/>
              </w:rPr>
              <w:t> </w:t>
            </w:r>
            <w:r w:rsidR="000F155C">
              <w:rPr>
                <w:rFonts w:cstheme="minorHAnsi"/>
                <w:lang w:val="en-SG"/>
              </w:rPr>
              <w:t>X</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41457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0538A" w:rsidRDefault="002F0752" w:rsidP="00CF2E7C">
            <w:pPr>
              <w:rPr>
                <w:rFonts w:ascii="Calibri" w:hAnsi="Calibri" w:cs="Calibri"/>
                <w:lang w:val="fr-FR"/>
              </w:rPr>
            </w:pPr>
            <w:r w:rsidRPr="0030538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0538A" w:rsidRDefault="002F0752" w:rsidP="00CF2E7C">
            <w:pPr>
              <w:rPr>
                <w:rFonts w:ascii="Calibri" w:hAnsi="Calibri" w:cs="Calibri"/>
                <w:lang w:val="fr-FR"/>
              </w:rPr>
            </w:pPr>
          </w:p>
        </w:tc>
      </w:tr>
      <w:tr w:rsidR="002F0752" w:rsidRPr="00D1195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0A39CC" w14:textId="77777777" w:rsidR="00997625" w:rsidRDefault="00997625" w:rsidP="00874E39">
      <w:r>
        <w:separator/>
      </w:r>
    </w:p>
  </w:endnote>
  <w:endnote w:type="continuationSeparator" w:id="0">
    <w:p w14:paraId="5D46065E" w14:textId="77777777" w:rsidR="00997625" w:rsidRDefault="00997625" w:rsidP="00874E39">
      <w:r>
        <w:continuationSeparator/>
      </w:r>
    </w:p>
  </w:endnote>
  <w:endnote w:type="continuationNotice" w:id="1">
    <w:p w14:paraId="5D25F5D6" w14:textId="77777777" w:rsidR="00997625" w:rsidRDefault="009976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0F4D217A" w:rsidR="00874E39" w:rsidRDefault="00874E39" w:rsidP="00D360F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683DF96C"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526BDEB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9B9905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AF84E" w14:textId="77777777" w:rsidR="00997625" w:rsidRDefault="00997625" w:rsidP="00874E39">
      <w:r>
        <w:separator/>
      </w:r>
    </w:p>
  </w:footnote>
  <w:footnote w:type="continuationSeparator" w:id="0">
    <w:p w14:paraId="09B77B9D" w14:textId="77777777" w:rsidR="00997625" w:rsidRDefault="00997625" w:rsidP="00874E39">
      <w:r>
        <w:continuationSeparator/>
      </w:r>
    </w:p>
  </w:footnote>
  <w:footnote w:type="continuationNotice" w:id="1">
    <w:p w14:paraId="3179B2A5" w14:textId="77777777" w:rsidR="00997625" w:rsidRDefault="009976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8E559" w14:textId="77777777" w:rsidR="00D0752A" w:rsidRDefault="00D075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DED11" w14:textId="77777777" w:rsidR="00D0752A" w:rsidRDefault="00D0752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253"/>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01E"/>
    <w:rsid w:val="000526BB"/>
    <w:rsid w:val="00052CA3"/>
    <w:rsid w:val="000555DB"/>
    <w:rsid w:val="00055E34"/>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794"/>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55C"/>
    <w:rsid w:val="000F4459"/>
    <w:rsid w:val="000F53C0"/>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45"/>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270"/>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925"/>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B8"/>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358"/>
    <w:rsid w:val="0030538A"/>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6848"/>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237"/>
    <w:rsid w:val="003B3C0F"/>
    <w:rsid w:val="003B4DD6"/>
    <w:rsid w:val="003B4F81"/>
    <w:rsid w:val="003B539A"/>
    <w:rsid w:val="003B5B6C"/>
    <w:rsid w:val="003B66F6"/>
    <w:rsid w:val="003B7854"/>
    <w:rsid w:val="003C16DA"/>
    <w:rsid w:val="003C5BA2"/>
    <w:rsid w:val="003C677B"/>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3BC9"/>
    <w:rsid w:val="0041424B"/>
    <w:rsid w:val="0041457E"/>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9E7"/>
    <w:rsid w:val="00442AC3"/>
    <w:rsid w:val="00444D51"/>
    <w:rsid w:val="004474C7"/>
    <w:rsid w:val="00450AD7"/>
    <w:rsid w:val="00450C15"/>
    <w:rsid w:val="004514AB"/>
    <w:rsid w:val="00452F13"/>
    <w:rsid w:val="004557A1"/>
    <w:rsid w:val="00455E1B"/>
    <w:rsid w:val="00460A6D"/>
    <w:rsid w:val="00461552"/>
    <w:rsid w:val="0046360A"/>
    <w:rsid w:val="00463D40"/>
    <w:rsid w:val="00464C5E"/>
    <w:rsid w:val="0046509D"/>
    <w:rsid w:val="00465B8D"/>
    <w:rsid w:val="00465BE4"/>
    <w:rsid w:val="00467A1C"/>
    <w:rsid w:val="00470095"/>
    <w:rsid w:val="00470D19"/>
    <w:rsid w:val="004711F3"/>
    <w:rsid w:val="00471490"/>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234"/>
    <w:rsid w:val="00496413"/>
    <w:rsid w:val="004967DB"/>
    <w:rsid w:val="004A06B9"/>
    <w:rsid w:val="004A14A0"/>
    <w:rsid w:val="004A1B2A"/>
    <w:rsid w:val="004A1C8C"/>
    <w:rsid w:val="004A2174"/>
    <w:rsid w:val="004A4C51"/>
    <w:rsid w:val="004A4E0A"/>
    <w:rsid w:val="004A54B3"/>
    <w:rsid w:val="004A6D34"/>
    <w:rsid w:val="004A76A9"/>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63F"/>
    <w:rsid w:val="004C20B7"/>
    <w:rsid w:val="004C3866"/>
    <w:rsid w:val="004C3A52"/>
    <w:rsid w:val="004C6739"/>
    <w:rsid w:val="004C70AC"/>
    <w:rsid w:val="004D2730"/>
    <w:rsid w:val="004D30ED"/>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425"/>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B63"/>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2B5"/>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28CD"/>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B39"/>
    <w:rsid w:val="006B7780"/>
    <w:rsid w:val="006B7B0D"/>
    <w:rsid w:val="006C0BEF"/>
    <w:rsid w:val="006C0C8C"/>
    <w:rsid w:val="006C1651"/>
    <w:rsid w:val="006C1E8E"/>
    <w:rsid w:val="006C2956"/>
    <w:rsid w:val="006C36E1"/>
    <w:rsid w:val="006C3C15"/>
    <w:rsid w:val="006C3E76"/>
    <w:rsid w:val="006C4979"/>
    <w:rsid w:val="006C4EEA"/>
    <w:rsid w:val="006C4F08"/>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F01"/>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394"/>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8E"/>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6E"/>
    <w:rsid w:val="007F51CC"/>
    <w:rsid w:val="007F6DD7"/>
    <w:rsid w:val="007F71BD"/>
    <w:rsid w:val="007F7D9C"/>
    <w:rsid w:val="00800D7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877"/>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EA0"/>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2AF7"/>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4CE"/>
    <w:rsid w:val="008A345E"/>
    <w:rsid w:val="008A4685"/>
    <w:rsid w:val="008A4E58"/>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C8B"/>
    <w:rsid w:val="008E1EEF"/>
    <w:rsid w:val="008E3BCF"/>
    <w:rsid w:val="008E4B2E"/>
    <w:rsid w:val="008E540F"/>
    <w:rsid w:val="008E55CB"/>
    <w:rsid w:val="008E59EB"/>
    <w:rsid w:val="008E6AE1"/>
    <w:rsid w:val="008E760C"/>
    <w:rsid w:val="008F1111"/>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F8C"/>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4D74"/>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625"/>
    <w:rsid w:val="00997829"/>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896"/>
    <w:rsid w:val="009D5403"/>
    <w:rsid w:val="009D59A5"/>
    <w:rsid w:val="009D7337"/>
    <w:rsid w:val="009D7CB0"/>
    <w:rsid w:val="009E133B"/>
    <w:rsid w:val="009E1E61"/>
    <w:rsid w:val="009E21B4"/>
    <w:rsid w:val="009E3466"/>
    <w:rsid w:val="009E3D96"/>
    <w:rsid w:val="009E3FDA"/>
    <w:rsid w:val="009E40D3"/>
    <w:rsid w:val="009E4263"/>
    <w:rsid w:val="009E5F98"/>
    <w:rsid w:val="009E6050"/>
    <w:rsid w:val="009E6317"/>
    <w:rsid w:val="009E7C10"/>
    <w:rsid w:val="009F3542"/>
    <w:rsid w:val="009F56B4"/>
    <w:rsid w:val="009F5822"/>
    <w:rsid w:val="009F676A"/>
    <w:rsid w:val="009F7316"/>
    <w:rsid w:val="00A02AF3"/>
    <w:rsid w:val="00A03158"/>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14D"/>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1B5"/>
    <w:rsid w:val="00A93112"/>
    <w:rsid w:val="00A932DE"/>
    <w:rsid w:val="00A9656E"/>
    <w:rsid w:val="00AA186B"/>
    <w:rsid w:val="00AA38F6"/>
    <w:rsid w:val="00AA4965"/>
    <w:rsid w:val="00AA6DDB"/>
    <w:rsid w:val="00AA735B"/>
    <w:rsid w:val="00AB065B"/>
    <w:rsid w:val="00AB0830"/>
    <w:rsid w:val="00AB2CCC"/>
    <w:rsid w:val="00AB4F2C"/>
    <w:rsid w:val="00AB64F8"/>
    <w:rsid w:val="00AC6ECF"/>
    <w:rsid w:val="00AC7B6B"/>
    <w:rsid w:val="00AD1216"/>
    <w:rsid w:val="00AD1BC7"/>
    <w:rsid w:val="00AD316F"/>
    <w:rsid w:val="00AD4477"/>
    <w:rsid w:val="00AD4F51"/>
    <w:rsid w:val="00AD5285"/>
    <w:rsid w:val="00AD54D3"/>
    <w:rsid w:val="00AD70E0"/>
    <w:rsid w:val="00AE0028"/>
    <w:rsid w:val="00AE00FE"/>
    <w:rsid w:val="00AE0451"/>
    <w:rsid w:val="00AE0803"/>
    <w:rsid w:val="00AE0ADB"/>
    <w:rsid w:val="00AE0E83"/>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21"/>
    <w:rsid w:val="00B47460"/>
    <w:rsid w:val="00B50D6B"/>
    <w:rsid w:val="00B5110E"/>
    <w:rsid w:val="00B52F2C"/>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8C7"/>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0D5"/>
    <w:rsid w:val="00C76B74"/>
    <w:rsid w:val="00C81DE5"/>
    <w:rsid w:val="00C82860"/>
    <w:rsid w:val="00C837C9"/>
    <w:rsid w:val="00C8396C"/>
    <w:rsid w:val="00C84F1D"/>
    <w:rsid w:val="00C85DD9"/>
    <w:rsid w:val="00C85F5A"/>
    <w:rsid w:val="00C8618D"/>
    <w:rsid w:val="00C86ADF"/>
    <w:rsid w:val="00C870C0"/>
    <w:rsid w:val="00C91E6E"/>
    <w:rsid w:val="00C93319"/>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52A"/>
    <w:rsid w:val="00D07A89"/>
    <w:rsid w:val="00D11196"/>
    <w:rsid w:val="00D1195D"/>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491"/>
    <w:rsid w:val="00D33DB2"/>
    <w:rsid w:val="00D33DE7"/>
    <w:rsid w:val="00D348BC"/>
    <w:rsid w:val="00D34C6E"/>
    <w:rsid w:val="00D360F3"/>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3F7"/>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AB0"/>
    <w:rsid w:val="00DF7DE6"/>
    <w:rsid w:val="00E020A8"/>
    <w:rsid w:val="00E02101"/>
    <w:rsid w:val="00E03122"/>
    <w:rsid w:val="00E03A10"/>
    <w:rsid w:val="00E03F7B"/>
    <w:rsid w:val="00E04AEC"/>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380"/>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30A"/>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206"/>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67A"/>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B09"/>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0197263A-B3DB-45C9-9570-7C61BE3FB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28223021/https://www.bankofengland.co.uk/-/media/boe/files/prudential-regulation/letter/2022/october/managing-climate-related-financial-risk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112</Pages>
  <Words>23304</Words>
  <Characters>132835</Characters>
  <Application>Microsoft Office Word</Application>
  <DocSecurity>0</DocSecurity>
  <Lines>1106</Lines>
  <Paragraphs>311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Frischemeier, Yasmin</cp:lastModifiedBy>
  <cp:revision>2</cp:revision>
  <cp:lastPrinted>2025-03-21T00:14:00Z</cp:lastPrinted>
  <dcterms:created xsi:type="dcterms:W3CDTF">2025-07-21T19:13:00Z</dcterms:created>
  <dcterms:modified xsi:type="dcterms:W3CDTF">2025-07-21T19:13:00Z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